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60806.xml.htm"/>
      <w:bookmarkStart w:id="1" w:name="ksform408192026_0608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Hanson Kristopher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MAPLIGHT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 CHESAPEAKE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MapLight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MPLT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153,553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11.245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31,395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31,395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award. 1/4th of the RSUs shall vest on July 1, 2027, and 1/16th of the RSUs shall vest on each subsequent October 1, January 1, April 1 and July 1 thereafter, subject to the Reporting Person's continued service through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voting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1/4th of the total shares underlying the option shall vest on July 1, 2027, and 1/48th of the total shares shall vest each month thereafter on the same day of the month, subject to the Reporting Person's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Kristopher L. Hanson,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9970" TargetMode="External"/><Relationship Id="rId5" Type="http://schemas.openxmlformats.org/officeDocument/2006/relationships/hyperlink" Target="http://www.sec.gov/cgi-bin/browse-edgar?action=getcompany&amp;CIK=00017700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697</Words>
  <Characters>3744</Characters>
  <CharactersWithSpaces>4359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