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8818d8k.htm"/>
      <w:bookmarkStart w:id="1" w:name="ksd4881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MapLight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001-42914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83-2163243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800 Chesapeake Drive</w:t>
      </w:r>
    </w:p>
    <w:p>
      <w:pPr>
        <w:pStyle w:val="TextBody"/>
        <w:bidi w:val="0"/>
        <w:spacing w:before="0" w:after="0"/>
        <w:jc w:val="center"/>
        <w:rPr>
          <w:rFonts w:ascii="Times New Roman" w:hAnsi="Times New Roman"/>
          <w:b/>
          <w:sz w:val="20"/>
        </w:rPr>
      </w:pPr>
      <w:r>
        <w:rPr>
          <w:rFonts w:ascii="Times New Roman" w:hAnsi="Times New Roman"/>
          <w:b/>
          <w:sz w:val="20"/>
        </w:rPr>
        <w:t>Redwood City, California 94063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984-6300</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4985"/>
        <w:gridCol w:w="60"/>
        <w:gridCol w:w="710"/>
        <w:gridCol w:w="60"/>
        <w:gridCol w:w="282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MPLT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95" w:type="dxa"/>
        <w:jc w:val="left"/>
        <w:tblInd w:w="0" w:type="dxa"/>
        <w:tblLayout w:type="fixed"/>
        <w:tblCellMar>
          <w:top w:w="0" w:type="dxa"/>
          <w:left w:w="0" w:type="dxa"/>
          <w:bottom w:w="0" w:type="dxa"/>
          <w:right w:w="0" w:type="dxa"/>
        </w:tblCellMar>
      </w:tblPr>
      <w:tblGrid>
        <w:gridCol w:w="965"/>
        <w:gridCol w:w="3830"/>
      </w:tblGrid>
      <w:tr>
        <w:trPr/>
        <w:tc>
          <w:tcPr>
            <w:tcW w:w="965" w:type="dxa"/>
            <w:tcBorders/>
            <w:vAlign w:val="center"/>
          </w:tcPr>
          <w:p>
            <w:pPr>
              <w:pStyle w:val="TableContents"/>
              <w:bidi w:val="0"/>
              <w:spacing w:before="0" w:after="283"/>
              <w:jc w:val="left"/>
              <w:rPr>
                <w:b/>
              </w:rPr>
            </w:pPr>
            <w:r>
              <w:rPr>
                <w:b/>
              </w:rPr>
              <w:t>Item 1.01</w:t>
            </w:r>
          </w:p>
        </w:tc>
        <w:tc>
          <w:tcPr>
            <w:tcW w:w="3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13, 2026, MapLight Therapeutics, Inc. (the “</w:t>
      </w:r>
      <w:r>
        <w:rPr>
          <w:rFonts w:ascii="Times New Roman" w:hAnsi="Times New Roman"/>
          <w:b/>
          <w:i/>
          <w:sz w:val="20"/>
        </w:rPr>
        <w:t>Company</w:t>
      </w:r>
      <w:r>
        <w:rPr>
          <w:rFonts w:ascii="Times New Roman" w:hAnsi="Times New Roman"/>
          <w:sz w:val="20"/>
        </w:rPr>
        <w:t>”) entered into a Securities Purchase Agreement (the “</w:t>
      </w:r>
      <w:r>
        <w:rPr>
          <w:rFonts w:ascii="Times New Roman" w:hAnsi="Times New Roman"/>
          <w:b/>
          <w:i/>
          <w:sz w:val="20"/>
        </w:rPr>
        <w:t>Purchase Agreement</w:t>
      </w:r>
      <w:r>
        <w:rPr>
          <w:rFonts w:ascii="Times New Roman" w:hAnsi="Times New Roman"/>
          <w:sz w:val="20"/>
        </w:rPr>
        <w:t>”) with certain institutional investors (the “</w:t>
      </w:r>
      <w:r>
        <w:rPr>
          <w:rFonts w:ascii="Times New Roman" w:hAnsi="Times New Roman"/>
          <w:b/>
          <w:i/>
          <w:sz w:val="20"/>
        </w:rPr>
        <w:t>Purchasers</w:t>
      </w:r>
      <w:r>
        <w:rPr>
          <w:rFonts w:ascii="Times New Roman" w:hAnsi="Times New Roman"/>
          <w:sz w:val="20"/>
        </w:rPr>
        <w:t>”), pursuant to which the Company agreed to sell and issue to the Purchasers in a private placement transaction (the “</w:t>
      </w:r>
      <w:r>
        <w:rPr>
          <w:rFonts w:ascii="Times New Roman" w:hAnsi="Times New Roman"/>
          <w:b/>
          <w:i/>
          <w:sz w:val="20"/>
        </w:rPr>
        <w:t>Private Placement</w:t>
      </w:r>
      <w:r>
        <w:rPr>
          <w:rFonts w:ascii="Times New Roman" w:hAnsi="Times New Roman"/>
          <w:sz w:val="20"/>
        </w:rPr>
        <w:t>”) (i) 9,197,887 shares (the “</w:t>
      </w:r>
      <w:r>
        <w:rPr>
          <w:rFonts w:ascii="Times New Roman" w:hAnsi="Times New Roman"/>
          <w:b/>
          <w:i/>
          <w:sz w:val="20"/>
        </w:rPr>
        <w:t>Shares</w:t>
      </w:r>
      <w:r>
        <w:rPr>
          <w:rFonts w:ascii="Times New Roman" w:hAnsi="Times New Roman"/>
          <w:sz w:val="20"/>
        </w:rPr>
        <w:t>”) of the Company’s voting common stock, par value $0.0001 (“</w:t>
      </w:r>
      <w:r>
        <w:rPr>
          <w:rFonts w:ascii="Times New Roman" w:hAnsi="Times New Roman"/>
          <w:b/>
          <w:i/>
          <w:sz w:val="20"/>
        </w:rPr>
        <w:t>Common Stock</w:t>
      </w:r>
      <w:r>
        <w:rPr>
          <w:rFonts w:ascii="Times New Roman" w:hAnsi="Times New Roman"/>
          <w:sz w:val="20"/>
        </w:rPr>
        <w:t>”) per share, and (ii) with respect to certain Purchasers, pre-funded warrants to purchase 3,983,168 shares of Common Stock (the “</w:t>
      </w:r>
      <w:r>
        <w:rPr>
          <w:rFonts w:ascii="Times New Roman" w:hAnsi="Times New Roman"/>
          <w:b/>
          <w:i/>
          <w:sz w:val="20"/>
        </w:rPr>
        <w:t>Pre-Funded Warrants</w:t>
      </w:r>
      <w:r>
        <w:rPr>
          <w:rFonts w:ascii="Times New Roman" w:hAnsi="Times New Roman"/>
          <w:sz w:val="20"/>
        </w:rPr>
        <w:t>”) in lieu of Shares. The purchase price per share of Common Stock is $11.38 per share (the “</w:t>
      </w:r>
      <w:r>
        <w:rPr>
          <w:rFonts w:ascii="Times New Roman" w:hAnsi="Times New Roman"/>
          <w:b/>
          <w:i/>
          <w:sz w:val="20"/>
        </w:rPr>
        <w:t>Purchase Price</w:t>
      </w:r>
      <w:r>
        <w:rPr>
          <w:rFonts w:ascii="Times New Roman" w:hAnsi="Times New Roman"/>
          <w:sz w:val="20"/>
        </w:rPr>
        <w:t xml:space="preserve">”) and the purchase price for the Pre-Funded Warrants is the Purchase Price minus $0.0001 per share underlying the Pre-Funded Warrants. The Company anticipates receiving gross proceeds of approximately $150.0 million from the Private Placement, before deducting placement agent fees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have a per share exercise price of $0.0001,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that holds less than 20% of the Common Stock prior to such exercise may increase or decrease the beneficial ownership limitation by giving 61 days’ notice to the Company, but not to any percentage in excess of 19.99%. </w:t>
      </w:r>
    </w:p>
    <w:p>
      <w:pPr>
        <w:pStyle w:val="TextBody"/>
        <w:bidi w:val="0"/>
        <w:spacing w:before="240" w:after="0"/>
        <w:jc w:val="left"/>
        <w:rPr>
          <w:rFonts w:ascii="Times New Roman" w:hAnsi="Times New Roman"/>
          <w:sz w:val="20"/>
        </w:rPr>
      </w:pPr>
      <w:r>
        <w:rPr>
          <w:rFonts w:ascii="Times New Roman" w:hAnsi="Times New Roman"/>
          <w:sz w:val="20"/>
        </w:rPr>
        <w:t>Also on August 13, 2026, the Company entered into a Registration Rights Agreement (the “</w:t>
      </w:r>
      <w:r>
        <w:rPr>
          <w:rFonts w:ascii="Times New Roman" w:hAnsi="Times New Roman"/>
          <w:b/>
          <w:i/>
          <w:sz w:val="20"/>
        </w:rPr>
        <w:t>Registration Rights Agreement</w:t>
      </w:r>
      <w:r>
        <w:rPr>
          <w:rFonts w:ascii="Times New Roman" w:hAnsi="Times New Roman"/>
          <w:sz w:val="20"/>
        </w:rPr>
        <w:t>”) with the Purchasers. Under the terms of the Registration Rights Agreement, the Company has agreed to prepare and file, within 30 days after the Closing (the “</w:t>
      </w:r>
      <w:r>
        <w:rPr>
          <w:rFonts w:ascii="Times New Roman" w:hAnsi="Times New Roman"/>
          <w:b/>
          <w:i/>
          <w:sz w:val="20"/>
        </w:rPr>
        <w:t>Filing Deadline</w:t>
      </w:r>
      <w:r>
        <w:rPr>
          <w:rFonts w:ascii="Times New Roman" w:hAnsi="Times New Roman"/>
          <w:sz w:val="20"/>
        </w:rPr>
        <w:t>”), one or more registration statements with the Securities and Exchange Commission (the “</w:t>
      </w:r>
      <w:r>
        <w:rPr>
          <w:rFonts w:ascii="Times New Roman" w:hAnsi="Times New Roman"/>
          <w:b/>
          <w:i/>
          <w:sz w:val="20"/>
        </w:rPr>
        <w:t>SEC</w:t>
      </w:r>
      <w:r>
        <w:rPr>
          <w:rFonts w:ascii="Times New Roman" w:hAnsi="Times New Roman"/>
          <w:sz w:val="20"/>
        </w:rPr>
        <w:t>”) to register for resale the Common Stock issued under the Purchase Agreement and the shares of Common Stock issuable upon exercise of the Pre-Funded Warrants (the “</w:t>
      </w:r>
      <w:r>
        <w:rPr>
          <w:rFonts w:ascii="Times New Roman" w:hAnsi="Times New Roman"/>
          <w:b/>
          <w:i/>
          <w:sz w:val="20"/>
        </w:rPr>
        <w:t>Warrant Shares</w:t>
      </w:r>
      <w:r>
        <w:rPr>
          <w:rFonts w:ascii="Times New Roman" w:hAnsi="Times New Roman"/>
          <w:sz w:val="20"/>
        </w:rPr>
        <w:t>”) issued pursuant to the Purchase Agreement (together, the “</w:t>
      </w:r>
      <w:r>
        <w:rPr>
          <w:rFonts w:ascii="Times New Roman" w:hAnsi="Times New Roman"/>
          <w:b/>
          <w:i/>
          <w:sz w:val="20"/>
        </w:rPr>
        <w:t>Registrable Securities</w:t>
      </w:r>
      <w:r>
        <w:rPr>
          <w:rFonts w:ascii="Times New Roman" w:hAnsi="Times New Roman"/>
          <w:sz w:val="20"/>
        </w:rPr>
        <w:t>”), and to cause the applicable registration statements to become effective within a specified period set forth in the Registration Rights Agreement (the “</w:t>
      </w:r>
      <w:r>
        <w:rPr>
          <w:rFonts w:ascii="Times New Roman" w:hAnsi="Times New Roman"/>
          <w:b/>
          <w:i/>
          <w:sz w:val="20"/>
        </w:rPr>
        <w:t>Effectiveness Deadline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registration statement has not been filed by the Filing Deadline or has not been declared effective by the SEC by the Effectiveness Deadline, subject to certain limited exceptions, the Company has agreed to make pro rata payments to each Purchaser as liquidated damages in an amount equal to 1.0% of the aggregate amount paid pursuant to the Purchase Agreement by such Purchaser for the Purchaser’s Registrable Securities then held, per 30-day period or pro rata for any portion thereof for each such 30-day period during which such event continues, subject to certain caps set forth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warranties and covenants that were made solely for the benefit of the parties to the Purchase Agreement. Such representations, warranties and covenants (i) are intended as a way of allocating risk between the parties to the Purchase Agreement and not as statements of fact, and (ii) may apply standards of materiality in a way that is different from what may be viewed as material by stockholders of, or other investors in, the Company. Accordingly, the Purchase Agreement is included with this filing only to provide investors with information regarding the terms of transaction and not to provide investors with any other factual information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engaged Morgan Stanley &amp; Co. LLC, Jefferies LLC, Leerink Partners LLC and Stifel, Nicolaus &amp; Company, Incorporated as placement agents for the Private Placement. The Company has agreed to pay customary placement fees and reimburse certain expenses of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granted the Purchasers customary indemnification rights in connection with the registration statement. The Purchasers have also granted the Company customary indemnification rights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of the terms of the Purchase Agreement, the Registration Rights Agreement and the Pre-Funded Warrants issued under the Purchase Agreement, does not purport to be complete and is qualified in its entirety by reference to the full text of (i) the form of the Purchase Agreement, a copy of which is attached to this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Current Report on Form 8-K as Exhibit 10.1, (ii) the form of the Registration Rights Agreement, a copy of which is attached to this Current Report on Form 8-K as Exhibit 10.2, and (iii) the form of Pre-Funded Warrant issued under the Purchase Agreement, a copy of which is attached to this Current Report on Form 8-K as Exhibit 4.1.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press release announcing its financial results for the second quarter ended June 30, 2026. A copy of this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2026, the Company issued a press release entitled “MapLight Therapeutics Announces $150 Million Private Placement Financing” which includes the following selected preliminary financial information: MapLight’s cash, cash equivalents and investments were $351.3 million as of June 30, 2026. A copy of this press release is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In accordance with General Instruction B.2. of Form 8-K, the information in this Item 2.02, including Exhibits 99.1 and 99.2 hereto,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or otherwise subject to the liability of that section, nor shall it be deemed incorporated by reference in any of the Company’s filings under the Securities Act of 1933, as amended (the “</w:t>
      </w:r>
      <w:r>
        <w:rPr>
          <w:rFonts w:ascii="Times New Roman" w:hAnsi="Times New Roman"/>
          <w:b/>
          <w:i/>
          <w:sz w:val="20"/>
        </w:rPr>
        <w:t>Securities Act</w:t>
      </w:r>
      <w:r>
        <w:rPr>
          <w:rFonts w:ascii="Times New Roman" w:hAnsi="Times New Roman"/>
          <w:sz w:val="20"/>
        </w:rPr>
        <w:t xml:space="preserve">”), or the Exchange Act, whether made before or after the date hereof, regardless of any incorporation language in such a filing, except as expressly set forth by specific reference in such a filing.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regarding the securities to be sold and issued under the Purchase Agreement as set forth under Item 1.01 of this report is incorporated by reference under this Item 3.02.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described above under Item 1.01 have not been registered under the Securities Act. Based in part upon the representations of the Purchasers in the Purchase Agreement, the offering and sale of the securities described above are being offered and sold in a private placement under section 4(a)(2) of the Securities Act, and corresponding provisions of state securities or “blue sky” laws. Accordingly, such securities may not be offered or sold in the United States except pursuant to an effective registration statement or an applicable exemption from the registration requirements of the Securities Act and such applicable state securities laws. The sale of the securities did not involve a public offering and was made without general solicitation or general advertising.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exhibit attached hereto is an offer to sell or the solicitation of an offer to buy any securities of the Company.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updated its corporate presentation for use in meetings with investors, analysts and others. The presentation is available on the Company’s website and a copy is furnished as Exhibit 99.3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 this Item 7.01, and Exhibit 99.3 hereto, shall not be deemed “filed” for purposes of Section 18 of the Exchange Act or otherwise subject to the liability of that section, nor shall it be deemed incorporated by reference in any of the Company’s filings under the Securities Act or the Exchange Act, whether made before or after the date hereof, regardless of any incorporation language in such a filing, except as expressly set forth by specific reference in such a filing. </w:t>
      </w:r>
      <w:r>
        <w:br w:type="page"/>
      </w:r>
    </w:p>
    <w:p>
      <w:pPr>
        <w:pStyle w:val="HorizontalLine"/>
        <w:bidi w:val="0"/>
        <w:jc w:val="left"/>
        <w:rPr/>
      </w:pPr>
      <w:r>
        <w:rPr/>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965"/>
        <w:gridCol w:w="2930"/>
      </w:tblGrid>
      <w:tr>
        <w:trPr/>
        <w:tc>
          <w:tcPr>
            <w:tcW w:w="965" w:type="dxa"/>
            <w:tcBorders/>
            <w:vAlign w:val="center"/>
          </w:tcPr>
          <w:p>
            <w:pPr>
              <w:pStyle w:val="TableContents"/>
              <w:bidi w:val="0"/>
              <w:spacing w:before="0" w:after="283"/>
              <w:jc w:val="left"/>
              <w:rPr>
                <w:b/>
              </w:rPr>
            </w:pPr>
            <w:r>
              <w:rPr>
                <w:b/>
              </w:rPr>
              <w:t>Item 9.01</w:t>
            </w:r>
          </w:p>
        </w:tc>
        <w:tc>
          <w:tcPr>
            <w:tcW w:w="2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818dex41.htm">
              <w:r>
                <w:rPr>
                  <w:rStyle w:val="InternetLink"/>
                </w:rPr>
                <w:t xml:space="preserve">Form of Pre-Funded Warrant.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818dex101.htm">
              <w:r>
                <w:rPr>
                  <w:rStyle w:val="InternetLink"/>
                </w:rPr>
                <w:t xml:space="preserve">Form of Securities Purchase Agreement, dated August 13, 2026, by and among MapLight Therapeutics, Inc. and the Purchasers.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818dex102.htm">
              <w:r>
                <w:rPr>
                  <w:rStyle w:val="InternetLink"/>
                </w:rPr>
                <w:t xml:space="preserve">Form of Registration Rights Agreement, dated August 13, 2026, by and among MapLight Therapeutics, Inc. and the Purchasers.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818dex991.htm">
              <w:r>
                <w:rPr>
                  <w:rStyle w:val="InternetLink"/>
                </w:rPr>
                <w:t xml:space="preserve">Press Release, dated August 13,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818dex992.htm">
              <w:r>
                <w:rPr>
                  <w:rStyle w:val="InternetLink"/>
                </w:rPr>
                <w:t xml:space="preserve">Press Release, dated August 13,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818dex993.htm">
              <w:r>
                <w:rPr>
                  <w:rStyle w:val="InternetLink"/>
                </w:rPr>
                <w:t xml:space="preserve">Corporate Presentation, dated August 13,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98" w:type="dxa"/>
        <w:jc w:val="left"/>
        <w:tblInd w:w="0" w:type="dxa"/>
        <w:tblLayout w:type="fixed"/>
        <w:tblCellMar>
          <w:top w:w="0" w:type="dxa"/>
          <w:left w:w="0" w:type="dxa"/>
          <w:bottom w:w="0" w:type="dxa"/>
          <w:right w:w="0" w:type="dxa"/>
        </w:tblCellMar>
      </w:tblPr>
      <w:tblGrid>
        <w:gridCol w:w="2315"/>
        <w:gridCol w:w="60"/>
        <w:gridCol w:w="23"/>
        <w:gridCol w:w="60"/>
        <w:gridCol w:w="365"/>
        <w:gridCol w:w="60"/>
        <w:gridCol w:w="291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40" w:type="dxa"/>
            <w:gridSpan w:val="3"/>
            <w:tcBorders/>
            <w:vAlign w:val="center"/>
          </w:tcPr>
          <w:p>
            <w:pPr>
              <w:pStyle w:val="TableContents"/>
              <w:bidi w:val="0"/>
              <w:spacing w:before="0" w:after="283"/>
              <w:jc w:val="left"/>
              <w:rPr>
                <w:b/>
              </w:rPr>
            </w:pPr>
            <w:r>
              <w:rPr>
                <w:b/>
              </w:rPr>
              <w:t>MapLight Therapeutics,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A. Kroeger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Christopher A. Kroeger, M.D.</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48818dex41.htm"/>
      <w:bookmarkStart w:id="3" w:name="ksd48818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8"/>
        <w:gridCol w:w="122"/>
        <w:gridCol w:w="3150"/>
        <w:gridCol w:w="122"/>
        <w:gridCol w:w="3213"/>
      </w:tblGrid>
      <w:tr>
        <w:trPr/>
        <w:tc>
          <w:tcPr>
            <w:tcW w:w="35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8" w:type="dxa"/>
            <w:tcBorders/>
          </w:tcPr>
          <w:p>
            <w:pPr>
              <w:pStyle w:val="TableContents"/>
              <w:bidi w:val="0"/>
              <w:spacing w:before="0" w:after="283"/>
              <w:jc w:val="left"/>
              <w:rPr/>
            </w:pPr>
            <w:r>
              <w:rPr/>
              <w:t>Warrant No. []</w:t>
            </w:r>
          </w:p>
        </w:tc>
        <w:tc>
          <w:tcPr>
            <w:tcW w:w="122" w:type="dxa"/>
            <w:tcBorders/>
            <w:vAlign w:val="bottom"/>
          </w:tcPr>
          <w:p>
            <w:pPr>
              <w:pStyle w:val="TableContents"/>
              <w:bidi w:val="0"/>
              <w:spacing w:before="0" w:after="283"/>
              <w:jc w:val="left"/>
              <w:rPr/>
            </w:pPr>
            <w:r>
              <w:rPr/>
              <w:t>  </w:t>
            </w:r>
          </w:p>
        </w:tc>
        <w:tc>
          <w:tcPr>
            <w:tcW w:w="31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right"/>
              <w:rPr/>
            </w:pPr>
            <w:r>
              <w:rPr/>
              <w:t>Original Issue Date: [], 2026</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MapLight Therapeutics, Inc., </w:t>
      </w:r>
      <w:r>
        <w:rPr>
          <w:rFonts w:ascii="Times New Roman" w:hAnsi="Times New Roman"/>
          <w:sz w:val="20"/>
        </w:rPr>
        <w:t>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Voting Common Stock, $0.0001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$0.0001 (the “</w:t>
      </w:r>
      <w:r>
        <w:rPr>
          <w:rFonts w:ascii="Times New Roman" w:hAnsi="Times New Roman"/>
          <w:b/>
          <w:sz w:val="20"/>
        </w:rPr>
        <w:t>Exercise Price</w:t>
      </w:r>
      <w:r>
        <w:rPr>
          <w:rFonts w:ascii="Times New Roman" w:hAnsi="Times New Roman"/>
          <w:sz w:val="20"/>
        </w:rPr>
        <w:t xml:space="preserve">”), in each case as adjusted from time to time as provided in </w:t>
      </w:r>
      <w:r>
        <w:rPr>
          <w:rFonts w:ascii="Times New Roman" w:hAnsi="Times New Roman"/>
          <w:sz w:val="20"/>
          <w:u w:val="single"/>
        </w:rPr>
        <w:t>Section 9</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August 13,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b/>
          <w:sz w:val="20"/>
          <w:u w:val="single"/>
        </w:rPr>
        <w:t>Definitions</w:t>
      </w:r>
      <w:r>
        <w:rPr>
          <w:rFonts w:ascii="Times New Roman" w:hAnsi="Times New Roman"/>
          <w:sz w:val="20"/>
        </w:rPr>
        <w:t xml:space="preserve">. For purposes of this Warrant, the following terms shall have the </w:t>
      </w:r>
    </w:p>
    <w:p>
      <w:pPr>
        <w:pStyle w:val="TextBody"/>
        <w:bidi w:val="0"/>
        <w:spacing w:before="0" w:after="0"/>
        <w:jc w:val="left"/>
        <w:rPr>
          <w:rFonts w:ascii="Times New Roman" w:hAnsi="Times New Roman"/>
          <w:sz w:val="20"/>
        </w:rPr>
      </w:pPr>
      <w:r>
        <w:rPr>
          <w:rFonts w:ascii="Times New Roman" w:hAnsi="Times New Roman"/>
          <w:sz w:val="20"/>
        </w:rPr>
        <w:t xml:space="preserve">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Transfer Agent</w:t>
      </w:r>
      <w:r>
        <w:rPr>
          <w:rFonts w:ascii="Times New Roman" w:hAnsi="Times New Roman"/>
          <w:sz w:val="20"/>
        </w:rPr>
        <w:t xml:space="preserve">” means Equiniti Trust Company LLC,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Registration of Transfers</w:t>
      </w:r>
      <w:r>
        <w:rPr>
          <w:rFonts w:ascii="Times New Roman" w:hAnsi="Times New Roman"/>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as </w:t>
      </w:r>
      <w:r>
        <w:rPr>
          <w:rFonts w:ascii="Times New Roman" w:hAnsi="Times New Roman"/>
          <w:sz w:val="20"/>
          <w:u w:val="single"/>
        </w:rPr>
        <w:t>Schedule 2</w:t>
      </w:r>
      <w:r>
        <w:rPr>
          <w:rFonts w:ascii="Times New Roman" w:hAnsi="Times New Roman"/>
          <w:sz w:val="20"/>
        </w:rPr>
        <w:t xml:space="preserve">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delivery of such written assignment,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Exercise of Warrants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Delivery of Warrant Shares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or (ii) in book-entry form via a direct registration system (“</w:t>
      </w:r>
      <w:r>
        <w:rPr>
          <w:rFonts w:ascii="Times New Roman" w:hAnsi="Times New Roman"/>
          <w:b/>
          <w:sz w:val="20"/>
        </w:rPr>
        <w:t>DRS</w:t>
      </w:r>
      <w:r>
        <w:rPr>
          <w:rFonts w:ascii="Times New Roman" w:hAnsi="Times New Roman"/>
          <w:sz w:val="20"/>
        </w:rPr>
        <w:t xml:space="preserve">”)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w:t>
      </w:r>
      <w:r>
        <w:rPr>
          <w:rFonts w:ascii="Times New Roman" w:hAnsi="Times New Roman"/>
          <w:sz w:val="20"/>
        </w:rPr>
        <w:t xml:space="preserve"> 9.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Limitations on Exercise</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Paragraph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[19.99%][49.99%]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 xml:space="preserve">13.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120" w:after="0"/>
        <w:jc w:val="left"/>
        <w:rPr>
          <w:rFonts w:ascii="Times New Roman" w:hAnsi="Times New Roman"/>
          <w:sz w:val="20"/>
        </w:rPr>
      </w:pPr>
      <w:r>
        <w:rPr>
          <w:rFonts w:ascii="Times New Roman" w:hAnsi="Times New Roman"/>
          <w:b/>
          <w:sz w:val="20"/>
        </w:rPr>
        <w:t xml:space="preserve">14.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b/>
          <w:sz w:val="20"/>
        </w:rPr>
        <w:t xml:space="preserve">15.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sz w:val="20"/>
        </w:rPr>
      </w:pPr>
      <w:r>
        <w:rPr>
          <w:rFonts w:ascii="Times New Roman" w:hAnsi="Times New Roman"/>
          <w:b/>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MAPLIGHT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4" w:name="d48818dex101.htm"/>
      <w:bookmarkStart w:id="5" w:name="ksd48818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13, 2026, by and among MapLight Therapeutics, Inc., a Delaware corporation (the “</w:t>
      </w:r>
      <w:r>
        <w:rPr>
          <w:rFonts w:ascii="Times New Roman" w:hAnsi="Times New Roman"/>
          <w:b/>
          <w:sz w:val="20"/>
        </w:rPr>
        <w:t>Company</w:t>
      </w:r>
      <w:r>
        <w:rPr>
          <w:rFonts w:ascii="Times New Roman" w:hAnsi="Times New Roman"/>
          <w:sz w:val="20"/>
        </w:rPr>
        <w:t xml:space="preserve">”), and each of the purchasers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Investors are executing and delivering this Agreement in reliance upon the exemption from securities registration afforded by Section 4(a)(2) of the Securities Act;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(A) shares (the “</w:t>
      </w:r>
      <w:r>
        <w:rPr>
          <w:rFonts w:ascii="Times New Roman" w:hAnsi="Times New Roman"/>
          <w:b/>
          <w:sz w:val="20"/>
        </w:rPr>
        <w:t>Shares</w:t>
      </w:r>
      <w:r>
        <w:rPr>
          <w:rFonts w:ascii="Times New Roman" w:hAnsi="Times New Roman"/>
          <w:sz w:val="20"/>
        </w:rPr>
        <w:t>”) of the Company’s Voting Common Stock, par value $0.0001 per share (the “</w:t>
      </w:r>
      <w:r>
        <w:rPr>
          <w:rFonts w:ascii="Times New Roman" w:hAnsi="Times New Roman"/>
          <w:b/>
          <w:sz w:val="20"/>
        </w:rPr>
        <w:t>Common Stock</w:t>
      </w:r>
      <w:r>
        <w:rPr>
          <w:rFonts w:ascii="Times New Roman" w:hAnsi="Times New Roman"/>
          <w:sz w:val="20"/>
        </w:rPr>
        <w:t>”) and (B) pre-funded warrants to purchase shares of Common Stock substantially in the form attached hereto as Exhibit C (the “</w:t>
      </w:r>
      <w:r>
        <w:rPr>
          <w:rFonts w:ascii="Times New Roman" w:hAnsi="Times New Roman"/>
          <w:b/>
          <w:sz w:val="20"/>
        </w:rPr>
        <w:t>Pre-Funded Warrants</w:t>
      </w:r>
      <w:r>
        <w:rPr>
          <w:rFonts w:ascii="Times New Roman" w:hAnsi="Times New Roman"/>
          <w:sz w:val="20"/>
        </w:rPr>
        <w:t>”, and together with the Shares, the “</w:t>
      </w:r>
      <w:r>
        <w:rPr>
          <w:rFonts w:ascii="Times New Roman" w:hAnsi="Times New Roman"/>
          <w:b/>
          <w:sz w:val="20"/>
        </w:rPr>
        <w:t>Securities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Shares and the Pre-Funded Warrants, the parties hereto will execute and deliver a Registration Rights Agreement, substantially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and the Pre-Funded Warrant Shares (as defined below)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Amended and Restated Bylaws</w:t>
      </w:r>
      <w:r>
        <w:rPr>
          <w:rFonts w:ascii="Times New Roman" w:hAnsi="Times New Roman"/>
          <w:sz w:val="20"/>
        </w:rPr>
        <w:t xml:space="preserve">” means the Amended and Restated Bylaws of the Company, as currently in effect. </w:t>
      </w:r>
    </w:p>
    <w:p>
      <w:pPr>
        <w:pStyle w:val="TextBody"/>
        <w:bidi w:val="0"/>
        <w:spacing w:before="240" w:after="0"/>
        <w:jc w:val="left"/>
        <w:rPr/>
      </w:pPr>
      <w:r>
        <w:rPr/>
        <w:t>“</w:t>
      </w:r>
      <w:r>
        <w:rPr>
          <w:rFonts w:ascii="Times New Roman" w:hAnsi="Times New Roman"/>
          <w:b/>
          <w:sz w:val="20"/>
        </w:rPr>
        <w:t>Amended and Restated Certificate of Incorporation</w:t>
      </w:r>
      <w:r>
        <w:rPr>
          <w:rFonts w:ascii="Times New Roman" w:hAnsi="Times New Roman"/>
          <w:sz w:val="20"/>
        </w:rPr>
        <w:t xml:space="preserve">” means the Amended and Restated Certificate of Incorporation of the Company, as currently in effect.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Common Stock Equivalents</w:t>
      </w:r>
      <w:r>
        <w:rPr>
          <w:rFonts w:ascii="Times New Roman" w:hAnsi="Times New Roman"/>
          <w:sz w:val="20"/>
        </w:rPr>
        <w:t xml:space="preserve">”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Fundamental Representations” </w:t>
      </w:r>
      <w:r>
        <w:rPr>
          <w:rFonts w:ascii="Times New Roman" w:hAnsi="Times New Roman"/>
          <w:sz w:val="20"/>
        </w:rPr>
        <w:t xml:space="preserve">means the representations and warranties made by the Company in </w:t>
      </w:r>
      <w:r>
        <w:rPr>
          <w:rFonts w:ascii="Times New Roman" w:hAnsi="Times New Roman"/>
          <w:sz w:val="20"/>
          <w:u w:val="single"/>
        </w:rPr>
        <w:t>Sections 3.1 (Organization and Power)</w:t>
      </w:r>
      <w:r>
        <w:rPr>
          <w:rFonts w:ascii="Times New Roman" w:hAnsi="Times New Roman"/>
          <w:sz w:val="20"/>
        </w:rPr>
        <w:t xml:space="preserve">, </w:t>
      </w:r>
      <w:r>
        <w:rPr>
          <w:rFonts w:ascii="Times New Roman" w:hAnsi="Times New Roman"/>
          <w:sz w:val="20"/>
          <w:u w:val="single"/>
        </w:rPr>
        <w:t>3.2 (Capitalization)</w:t>
      </w:r>
      <w:r>
        <w:rPr>
          <w:rFonts w:ascii="Times New Roman" w:hAnsi="Times New Roman"/>
          <w:sz w:val="20"/>
        </w:rPr>
        <w:t xml:space="preserve">, </w:t>
      </w:r>
      <w:r>
        <w:rPr>
          <w:rFonts w:ascii="Times New Roman" w:hAnsi="Times New Roman"/>
          <w:sz w:val="20"/>
          <w:u w:val="single"/>
        </w:rPr>
        <w:t>3.4 (Authorization)</w:t>
      </w:r>
      <w:r>
        <w:rPr>
          <w:rFonts w:ascii="Times New Roman" w:hAnsi="Times New Roman"/>
          <w:sz w:val="20"/>
        </w:rPr>
        <w:t xml:space="preserve">, </w:t>
      </w:r>
      <w:r>
        <w:rPr>
          <w:rFonts w:ascii="Times New Roman" w:hAnsi="Times New Roman"/>
          <w:sz w:val="20"/>
          <w:u w:val="single"/>
        </w:rPr>
        <w:t>3.5 (Valid Issuance)</w:t>
      </w:r>
      <w:r>
        <w:rPr>
          <w:rFonts w:ascii="Times New Roman" w:hAnsi="Times New Roman"/>
          <w:sz w:val="20"/>
        </w:rPr>
        <w:t xml:space="preserve">, </w:t>
      </w:r>
      <w:r>
        <w:rPr>
          <w:rFonts w:ascii="Times New Roman" w:hAnsi="Times New Roman"/>
          <w:sz w:val="20"/>
          <w:u w:val="single"/>
        </w:rPr>
        <w:t>3.6 (No Conflict)</w:t>
      </w:r>
      <w:r>
        <w:rPr>
          <w:rFonts w:ascii="Times New Roman" w:hAnsi="Times New Roman"/>
          <w:sz w:val="20"/>
        </w:rPr>
        <w:t xml:space="preserve">, </w:t>
      </w:r>
      <w:r>
        <w:rPr>
          <w:rFonts w:ascii="Times New Roman" w:hAnsi="Times New Roman"/>
          <w:sz w:val="20"/>
          <w:u w:val="single"/>
        </w:rPr>
        <w:t>3.7 (Consents)</w:t>
      </w:r>
      <w:r>
        <w:rPr>
          <w:rFonts w:ascii="Times New Roman" w:hAnsi="Times New Roman"/>
          <w:sz w:val="20"/>
        </w:rPr>
        <w:t xml:space="preserve">, </w:t>
      </w:r>
      <w:r>
        <w:rPr>
          <w:rFonts w:ascii="Times New Roman" w:hAnsi="Times New Roman"/>
          <w:sz w:val="20"/>
          <w:u w:val="single"/>
        </w:rPr>
        <w:t>3.8 (SEC Filings; Financial Statements)</w:t>
      </w:r>
      <w:r>
        <w:rPr>
          <w:rFonts w:ascii="Times New Roman" w:hAnsi="Times New Roman"/>
          <w:sz w:val="20"/>
        </w:rPr>
        <w:t xml:space="preserve">, </w:t>
      </w:r>
      <w:r>
        <w:rPr>
          <w:rFonts w:ascii="Times New Roman" w:hAnsi="Times New Roman"/>
          <w:sz w:val="20"/>
          <w:u w:val="single"/>
        </w:rPr>
        <w:t>3.18 (Nasdaq Stock Market)</w:t>
      </w:r>
      <w:r>
        <w:rPr>
          <w:rFonts w:ascii="Times New Roman" w:hAnsi="Times New Roman"/>
          <w:sz w:val="20"/>
        </w:rPr>
        <w:t xml:space="preserve">, </w:t>
      </w:r>
      <w:r>
        <w:rPr>
          <w:rFonts w:ascii="Times New Roman" w:hAnsi="Times New Roman"/>
          <w:sz w:val="20"/>
          <w:u w:val="single"/>
        </w:rPr>
        <w:t>3.19 (Sarbanes-Oxley Act)</w:t>
      </w:r>
      <w:r>
        <w:rPr>
          <w:rFonts w:ascii="Times New Roman" w:hAnsi="Times New Roman"/>
          <w:sz w:val="20"/>
        </w:rPr>
        <w:t xml:space="preserve">, </w:t>
      </w:r>
      <w:r>
        <w:rPr>
          <w:rFonts w:ascii="Times New Roman" w:hAnsi="Times New Roman"/>
          <w:sz w:val="20"/>
          <w:u w:val="single"/>
        </w:rPr>
        <w:t>3.23 (Price Stabilization of Common Stock)</w:t>
      </w:r>
      <w:r>
        <w:rPr>
          <w:rFonts w:ascii="Times New Roman" w:hAnsi="Times New Roman"/>
          <w:sz w:val="20"/>
        </w:rPr>
        <w:t xml:space="preserve">, </w:t>
      </w:r>
      <w:r>
        <w:rPr>
          <w:rFonts w:ascii="Times New Roman" w:hAnsi="Times New Roman"/>
          <w:sz w:val="20"/>
          <w:u w:val="single"/>
        </w:rPr>
        <w:t>3.24 (Investment Company Act)</w:t>
      </w:r>
      <w:r>
        <w:rPr>
          <w:rFonts w:ascii="Times New Roman" w:hAnsi="Times New Roman"/>
          <w:sz w:val="20"/>
        </w:rPr>
        <w:t xml:space="preserve">, </w:t>
      </w:r>
      <w:r>
        <w:rPr>
          <w:rFonts w:ascii="Times New Roman" w:hAnsi="Times New Roman"/>
          <w:sz w:val="20"/>
          <w:u w:val="single"/>
        </w:rPr>
        <w:t>3.25 (General Solicitation; No Integration or Aggregation)</w:t>
      </w:r>
      <w:r>
        <w:rPr>
          <w:rFonts w:ascii="Times New Roman" w:hAnsi="Times New Roman"/>
          <w:sz w:val="20"/>
        </w:rPr>
        <w:t xml:space="preserve">, </w:t>
      </w:r>
      <w:r>
        <w:rPr>
          <w:rFonts w:ascii="Times New Roman" w:hAnsi="Times New Roman"/>
          <w:sz w:val="20"/>
          <w:u w:val="single"/>
        </w:rPr>
        <w:t>3.26 (Brokers and Finders)</w:t>
      </w:r>
      <w:r>
        <w:rPr>
          <w:rFonts w:ascii="Times New Roman" w:hAnsi="Times New Roman"/>
          <w:sz w:val="20"/>
        </w:rPr>
        <w:t xml:space="preserve">, </w:t>
      </w:r>
      <w:r>
        <w:rPr>
          <w:rFonts w:ascii="Times New Roman" w:hAnsi="Times New Roman"/>
          <w:sz w:val="20"/>
          <w:u w:val="single"/>
        </w:rPr>
        <w:t>3.27 (Reliance by the Investors)</w:t>
      </w:r>
      <w:r>
        <w:rPr>
          <w:rFonts w:ascii="Times New Roman" w:hAnsi="Times New Roman"/>
          <w:sz w:val="20"/>
        </w:rPr>
        <w:t xml:space="preserve">, and </w:t>
      </w:r>
      <w:r>
        <w:rPr>
          <w:rFonts w:ascii="Times New Roman" w:hAnsi="Times New Roman"/>
          <w:sz w:val="20"/>
          <w:u w:val="single"/>
        </w:rPr>
        <w:t>3.30 (No Additional Agreements)</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3.33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Indemnified Person” </w:t>
      </w:r>
      <w:r>
        <w:rPr>
          <w:rFonts w:ascii="Times New Roman" w:hAnsi="Times New Roman"/>
          <w:sz w:val="20"/>
        </w:rPr>
        <w:t xml:space="preserve">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Intellectual Property Rights</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any of the following markets or exchanges on which the Common Stock is listed or quoted for trading on the date in question, together with any successor thereto: the NYSE American, The New York Stock Exchange, The Nasdaq Global Select Market, The Nasdaq Select Market and The Nasdaq Capital Market.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Placement Agents</w:t>
      </w:r>
      <w:r>
        <w:rPr>
          <w:rFonts w:ascii="Times New Roman" w:hAnsi="Times New Roman"/>
          <w:sz w:val="20"/>
        </w:rPr>
        <w:t xml:space="preserve">” means Morgan Stanley &amp; Co. LLC, Jefferies LLC, Leerink Partners LLC and Stifel, Nicolaus &amp; Company, Incorporated. </w:t>
      </w:r>
    </w:p>
    <w:p>
      <w:pPr>
        <w:pStyle w:val="TextBody"/>
        <w:bidi w:val="0"/>
        <w:spacing w:before="240" w:after="0"/>
        <w:jc w:val="left"/>
        <w:rPr/>
      </w:pPr>
      <w:r>
        <w:rPr/>
        <w:t>“</w:t>
      </w:r>
      <w:r>
        <w:rPr>
          <w:rFonts w:ascii="Times New Roman" w:hAnsi="Times New Roman"/>
          <w:b/>
          <w:sz w:val="20"/>
        </w:rPr>
        <w:t>Pre-Funded Warrants</w:t>
      </w:r>
      <w:r>
        <w:rPr>
          <w:rFonts w:ascii="Times New Roman" w:hAnsi="Times New Roman"/>
          <w:sz w:val="20"/>
        </w:rPr>
        <w:t xml:space="preserve">” has the meaning set forth in </w:t>
      </w:r>
      <w:r>
        <w:rPr>
          <w:rFonts w:ascii="Times New Roman" w:hAnsi="Times New Roman"/>
          <w:sz w:val="20"/>
          <w:u w:val="single"/>
        </w:rPr>
        <w:t>the 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Pre-Funded Warrant Price</w:t>
      </w:r>
      <w:r>
        <w:rPr>
          <w:rFonts w:ascii="Times New Roman" w:hAnsi="Times New Roman"/>
          <w:sz w:val="20"/>
        </w:rPr>
        <w:t xml:space="preserve">” means $11.3799. </w:t>
      </w:r>
    </w:p>
    <w:p>
      <w:pPr>
        <w:pStyle w:val="TextBody"/>
        <w:bidi w:val="0"/>
        <w:spacing w:before="240" w:after="0"/>
        <w:jc w:val="left"/>
        <w:rPr/>
      </w:pPr>
      <w:r>
        <w:rPr/>
        <w:t>“</w:t>
      </w:r>
      <w:r>
        <w:rPr>
          <w:rFonts w:ascii="Times New Roman" w:hAnsi="Times New Roman"/>
          <w:b/>
          <w:sz w:val="20"/>
        </w:rPr>
        <w:t>Pre-Funded Warrant Shares</w:t>
      </w:r>
      <w:r>
        <w:rPr>
          <w:rFonts w:ascii="Times New Roman" w:hAnsi="Times New Roman"/>
          <w:sz w:val="20"/>
        </w:rPr>
        <w:t xml:space="preserve">” has the meaning set forth in </w:t>
      </w:r>
      <w:r>
        <w:rPr>
          <w:rFonts w:ascii="Times New Roman" w:hAnsi="Times New Roman"/>
          <w:sz w:val="20"/>
          <w:u w:val="single"/>
        </w:rPr>
        <w:t>the 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3.33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xml:space="preserve">” has the meaning set forth in </w:t>
      </w:r>
      <w:r>
        <w:rPr>
          <w:rFonts w:ascii="Times New Roman" w:hAnsi="Times New Roman"/>
          <w:sz w:val="20"/>
          <w:u w:val="single"/>
        </w:rPr>
        <w:t>Section 3.33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 Reports</w:t>
      </w:r>
      <w:r>
        <w:rPr>
          <w:rFonts w:ascii="Times New Roman" w:hAnsi="Times New Roman"/>
          <w:sz w:val="20"/>
        </w:rPr>
        <w:t xml:space="preserve">” means (a) the Company’s most recently filed Annual Report on Form 10-K and (b) all Quarterly Reports on Form 10-Q and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$11.38 per Share.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w:t>
      </w:r>
    </w:p>
    <w:p>
      <w:pPr>
        <w:pStyle w:val="TextBody"/>
        <w:bidi w:val="0"/>
        <w:spacing w:before="240" w:after="0"/>
        <w:jc w:val="left"/>
        <w:rPr/>
      </w:pPr>
      <w:r>
        <w:rPr/>
        <w:t>“</w:t>
      </w:r>
      <w:r>
        <w:rPr>
          <w:rFonts w:ascii="Times New Roman" w:hAnsi="Times New Roman"/>
          <w:b/>
          <w:sz w:val="20"/>
        </w:rPr>
        <w:t>Studies</w:t>
      </w:r>
      <w:r>
        <w:rPr>
          <w:rFonts w:ascii="Times New Roman" w:hAnsi="Times New Roman"/>
          <w:sz w:val="20"/>
        </w:rPr>
        <w:t xml:space="preserve">” has the meaning set forth in </w:t>
      </w:r>
      <w:r>
        <w:rPr>
          <w:rFonts w:ascii="Times New Roman" w:hAnsi="Times New Roman"/>
          <w:sz w:val="20"/>
          <w:u w:val="single"/>
        </w:rPr>
        <w:t>Section 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Pre-Funded Warrants, and the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Equiniti Trust Company, LLC, or such other financial institution that provides transfer agent services as the Company may engage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On the Closing Date, upon the terms and subject to the conditions set forth herein, the Company agrees to sell, and the Investors, severally and not jointly, agree to purchase, the number and type of Securities, for the aggregate purchase price, set forth opposite the Investor’s name on </w:t>
      </w:r>
      <w:r>
        <w:rPr>
          <w:rFonts w:ascii="Times New Roman" w:hAnsi="Times New Roman"/>
          <w:sz w:val="20"/>
          <w:u w:val="single"/>
        </w:rPr>
        <w:t>Exhibit A</w:t>
      </w:r>
      <w:r>
        <w:rPr>
          <w:rFonts w:ascii="Times New Roman" w:hAnsi="Times New Roman"/>
          <w:sz w:val="20"/>
        </w:rPr>
        <w:t xml:space="preserve">. The purchase price per Share is equal to the Share Price. The price per Pre-Funded Warrant is equal to the Pre-Funded Warrant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5.6</w:t>
      </w:r>
      <w:r>
        <w:rPr>
          <w:rFonts w:ascii="Times New Roman" w:hAnsi="Times New Roman"/>
          <w:sz w:val="20"/>
        </w:rPr>
        <w:t xml:space="preserve"> of this Agreement,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xml:space="preserve">”) shall occur remotely via the exchange of documents and signatures at such time as agreed to by the Company and the Investors but (i) in no event earlier than the first Business Day after the date of this Agreement and (ii) in no event later than the fifth Business Day after the date of this Agreement. At the Closing, the Securities shall be issued and registered in the name of the Investor, or in such nominee name(s) as designated by such Investor, representing the number of Securities to be purchased by the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xml:space="preserve">”) in full, by wire transfer to the Company of immediately available funds, at or prior to the Closing, in accordance with wire instructions provided by the Company to the Investors at least one Business Day prior to the Closing. On the Closing Date, the Company will cause (A) the Transfer Agent to issue the Shares in book-entry form, free and clear of all restrictive and other legends (except as expressly provided in </w:t>
      </w:r>
      <w:r>
        <w:rPr>
          <w:rFonts w:ascii="Times New Roman" w:hAnsi="Times New Roman"/>
          <w:sz w:val="20"/>
          <w:u w:val="single"/>
        </w:rPr>
        <w:t>Section 4.10 hereof</w:t>
      </w:r>
      <w:r>
        <w:rPr>
          <w:rFonts w:ascii="Times New Roman" w:hAnsi="Times New Roman"/>
          <w:sz w:val="20"/>
        </w:rPr>
        <w:t xml:space="preserve">) and the Company shall provide evidence of such issuance from the Company’s Transfer Agent as soon as reasonably practicable following the Closing Date to each Investor and (B) deliver to such Investor (or such Investor’s designated custodian per its delivery instructions), or in such nominee name(s) as designated by such Investor, Pre-Funded Warrants exercisable for a number of shares of Common Stock as set forth in Exhibit A with respect to such Investor. In the event that the Closing has not occurred within one Business Day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Except as set forth in the SEC Reports (other than as to the Fundamental Representations, which are not so qualified), the Company hereby represents and warrants to each of the Investors and the Placement Agents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The Company has all requisite corporate power and authority to enter into the Transaction Agreements and to carry out and perform its obligations under the terms of the Transaction Agreements, including the issuance and sale of the Securities and the issuance of the shares of Common Stock issuable upon exercise of the Pre-Funded Warrants (the “</w:t>
      </w:r>
      <w:r>
        <w:rPr>
          <w:rFonts w:ascii="Times New Roman" w:hAnsi="Times New Roman"/>
          <w:b/>
          <w:sz w:val="20"/>
        </w:rPr>
        <w:t>Pre-Funded Warrant Shares</w:t>
      </w:r>
      <w:r>
        <w:rPr>
          <w:rFonts w:ascii="Times New Roman" w:hAnsi="Times New Roman"/>
          <w:sz w:val="20"/>
        </w:rPr>
        <w:t>”). All corporate action on the part of the Company, its officers, directors and stockholders necessary for the authorization of the Shares and the Pre-Funded Warrant Shares, the authorization, execution, delivery and performance of the Transaction Agreements and the consummation of the transactions contemplated herein, including the issuance and sale of the Securities and the Pre-Funded Warrant Shares has been taken, including, without limitation, the approval of the Board of Directors (or a committee thereof) in accordance with Section 144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each Investor set forth in Section 4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or the Pre-Funded Warrant Shares and the listing of the Shares or the Pre-Funded Warrant Shares for trading or quotation, as the case may be, thereon in the time and manner required thereby, (c) customary post-closing filings with the SEC or pursuant to state securities laws in connection with the offer and sale of the Shares or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filed or furnished all forms, statements, certifications, schedules, reports and documents required to be filed or furnished by it with the SEC under Section 13, 14(a) and 15(d) of the Exchange Act during the one-year period preceding the date of this Agreement (or for such shorter period that the Company was required to file or furnish such reports and other documents). As of the time it was filed or furnished with the SEC (or, if amended or superseded by a filing prior to the date of this Agreement, then on the date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filing), each of the SEC Reports complied in all material respects with the applicable requirements of the Exchange Act, and, as of the time they were filed or furnished,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 </w:t>
      </w:r>
    </w:p>
    <w:p>
      <w:pPr>
        <w:pStyle w:val="TextBody"/>
        <w:bidi w:val="0"/>
        <w:spacing w:before="240" w:after="0"/>
        <w:jc w:val="left"/>
        <w:rPr>
          <w:rFonts w:ascii="Times New Roman" w:hAnsi="Times New Roman"/>
          <w:sz w:val="20"/>
        </w:rPr>
      </w:pPr>
      <w:r>
        <w:rPr>
          <w:rFonts w:ascii="Times New Roman" w:hAnsi="Times New Roman"/>
          <w:sz w:val="20"/>
        </w:rPr>
        <w:t>(b) The consolidated financial statements of the Company included in the SEC Reports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Since March 31, 2026,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(i) The Company and its subsidiaries own or have valid licenses under all patents and patent applications, inventions, copyrights, know-how (including trade secrets and other unpatented and/or unpatentable proprietary or confidential information, systems or procedures), trademarks, trademark registrations, service marks, service mark registrations, service names, trade names and other intellectual property rights (collectively, “</w:t>
      </w:r>
      <w:r>
        <w:rPr>
          <w:rFonts w:ascii="Times New Roman" w:hAnsi="Times New Roman"/>
          <w:b/>
          <w:sz w:val="20"/>
        </w:rPr>
        <w:t>Intellectual Property Rights</w:t>
      </w:r>
      <w:r>
        <w:rPr>
          <w:rFonts w:ascii="Times New Roman" w:hAnsi="Times New Roman"/>
          <w:sz w:val="20"/>
        </w:rPr>
        <w:t xml:space="preserve">”) that are used in or reasonably necessary for, or material to, the conduct of, or, to the knowledge of the Company, the proposed conduct of, the business of the Company and its subsidiaries with respect to the product candidates in the manner described in the SEC Reports; (ii) the Intellectual Property Rights owned or purported to be owned by the Company and its subsidiaries and, to the Company’s knowledge, the Intellectual Property Rights licensed to the Company and its subsidiaries, are subsisting and, to the Company’s knowledge, valid and enforceable (and in each case, free of material defects in connection with the filing and prosecution thereof),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(iv) to the Company’s knowledge, no third party is infringing, misappropriating or otherwise violating, or has infringed, misappropriated or otherwise violated, any Intellectual Property Rights owned or purported to be owned by or licensed to the Company; (v) the conduct of the Company’s business as currently conducted or as proposed to be conducted as described in the SEC Reports does not, to the Company’s knowledge, infringe (as defined under 35 U.S.C. § 271) or misappropriate, and the commercialization of the product candidates would not infringe or misappropriate, any Intellectual Property Rights of any third party; (vi) no third party has any ownership right in or to any Intellectual Property Rights that are owned by the Company or any of its subsidiaries; (vii) no third party has any ownership right in or to any Intellectual Property Rights owned by or, to the Company’s knowledge, licensed to, the Company in any field of use, other than the respective licensor to the Company of such Intellectual Property Rights; (viii) except as described in the SEC Reports, no government funding, facilities or resources of a university, college, other educational institution or research center was used in the development of any Intellectual Property Rights that are owned by or licensed to the Company or its subsidiaries that would confer any governmental agency or body, university, college, other educational institution or research center any claim or right of ownership to any such Intellectual Property Rights; (ix) all employees or contractors engaged in the development of Intellectual Property Rights on behalf of the Company or any subsidiary of the Company have executed an invention assignment agreement with the Company or its subsidiaries, on or about the respective date of hire and in substantially the form made available to the Investors and their counsel, whereby such employees or contractors presently assign all of their right, title and interest in and to such Intellectual Property Rights to the Company or the applicable subsidiary, and to the Company’s knowledge no such agreement has been breached or violated; (x) the Company and its subsidiaries use, and have used, commercially reasonable efforts to appropriately maintain all information intended to be maintained as a trade secret, including by implementation of physical and cyber security measures and the execution of generally customary employment contracts, patent disclosure agreements, non-solicitation agreements, nondisclosure agreements, and confidentiality agreements with their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employees (as applicable), and to the Company’s knowledge, no employee of the Company or its subsidiaries is in or has been in violation of any material term of such agreements or any restrictive covenant to or with a former employer where the basis of such violation relates to such employee’s employment with the Company or its subsidiaries; (xi) the Company and each of its subsidiaries have complied with all material terms of each agreement pursuant to which Intellectual Property Rights have been licensed to the Company or such subsidiary, and all such agreements are in full force and effect; and (xii) all patents and patent applications owned by or, to the Company’s knowledge, licensed to the Company or its subsidiaries or under which the Company or its subsidiaries have rights have been duly and properly filed and maintained, and the Company is not aware of any prior art, public or commercial activity or other facts required to be disclosed to the USPTO that were not disclosed to the USPTO and which would preclude the grant of a patent in connection with any such application or could form the basis of a finding of invalidity or unenforceability with respect to any patents that have issued with respect to such applications. The Company expects the product candidates described in the SEC Reports as under development by the Company and its subsidiaries to fall within the scope of the claims of one or more patents or patent applications owned by or licensed to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Except as would not, individually or in the aggregate, reasonably be expected to have a Material Adverse Effect: (i) each employee benefit plan, within the meaning of Section 3(3) of ERISA, subject to Title IV of ERISA, but excluding any “multiemployer plan” within the meaning of Section 4001(a)(3) of ERISA, for which the Company or any member of any group of organizations described in Sections 414(b),(c),(m) or (o) of the Code of which the Company is a member (an “</w:t>
      </w:r>
      <w:r>
        <w:rPr>
          <w:rFonts w:ascii="Times New Roman" w:hAnsi="Times New Roman"/>
          <w:b/>
          <w:sz w:val="20"/>
        </w:rPr>
        <w:t>ERISA Affiliate</w:t>
      </w:r>
      <w:r>
        <w:rPr>
          <w:rFonts w:ascii="Times New Roman" w:hAnsi="Times New Roman"/>
          <w:sz w:val="20"/>
        </w:rPr>
        <w:t>”) has any liability (each, a “</w:t>
      </w:r>
      <w:r>
        <w:rPr>
          <w:rFonts w:ascii="Times New Roman" w:hAnsi="Times New Roman"/>
          <w:b/>
          <w:sz w:val="20"/>
        </w:rPr>
        <w:t>Plan</w:t>
      </w:r>
      <w:r>
        <w:rPr>
          <w:rFonts w:ascii="Times New Roman" w:hAnsi="Times New Roman"/>
          <w:sz w:val="20"/>
        </w:rPr>
        <w:t xml:space="preserve">”) has been maintained in compliance with its terms and the requirements of any applicable statutes, orders, rules and regulations, including but not limited to ERISA and the Code; (ii) no non-exempt prohibited transaction, within the meaning of Section 406 of ERISA or Section 4975 of the Code, has occurred with respect to any Plan; (iii) for each Plan, no failure to satisfy the minimum funding standards (within the meaning of Section 412 of the Code or Section 302 of ERISA), whether or not waived, has occurred or is reasonably expected to occur; (iv) no “reportable event” (within the meaning of Section 4043(c) of ERISA) other than those events as to which notice is waived has occurred or is reasonably expected to occur; and (v) neither the Company nor any of its ERISA Affiliates has incurred or reasonably expects to incur any material liability under Title IV of ERISA (other than contributions to the Plan or any multiemployer plan or premiums to the Pension Benefit Guaranty Corporation, in the ordinary course and without default) in respect of a Plan.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and have paid all taxes required to be paid thereon (except for cases in which the failure to file or pay would not, singly or in the aggregate, reasonably be expected to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each of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Nasdaq Stock Market</w:t>
      </w:r>
      <w:r>
        <w:rPr>
          <w:rFonts w:ascii="Times New Roman" w:hAnsi="Times New Roman"/>
          <w:sz w:val="20"/>
        </w:rPr>
        <w:t xml:space="preserve">. The issued and outstanding shares of Common Stock are registered pursuant to Section 12(b) of the Exchange Act and are listed for trading on the Nasdaq Global Select Market under the symbol “MPLT”.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Global Select Market or to deregister the Common Stock under the Exchange Act. The Company has taken no action as of the date of this Agreement that is designed to terminate the registration of the Common Stock under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Sarbanes-Oxley Act</w:t>
      </w:r>
      <w:r>
        <w:rPr>
          <w:rFonts w:ascii="Times New Roman" w:hAnsi="Times New Roman"/>
          <w:sz w:val="20"/>
        </w:rPr>
        <w:t>. The Company is, and since January 1, 2025 has been, in compliance in all material respects with all applicable requirements of the Sarbanes-Oxley Act of 2002 and applicable rules and regulations promulgated by the SEC thereunder</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Clinical Data and Regulatory Compliance</w:t>
      </w:r>
      <w:r>
        <w:rPr>
          <w:rFonts w:ascii="Times New Roman" w:hAnsi="Times New Roman"/>
          <w:sz w:val="20"/>
        </w:rPr>
        <w:t>. The Company and its subsidiaries (i) have not received any FDA Form 483, written notice of adverse finding, warning letter, untitled letter or other written correspondence or notice from the U.S. Food and Drug Administration (“</w:t>
      </w:r>
      <w:r>
        <w:rPr>
          <w:rFonts w:ascii="Times New Roman" w:hAnsi="Times New Roman"/>
          <w:b/>
          <w:sz w:val="20"/>
        </w:rPr>
        <w:t>FDA</w:t>
      </w:r>
      <w:r>
        <w:rPr>
          <w:rFonts w:ascii="Times New Roman" w:hAnsi="Times New Roman"/>
          <w:sz w:val="20"/>
        </w:rPr>
        <w:t>”), European Medicines Agency (“</w:t>
      </w:r>
      <w:r>
        <w:rPr>
          <w:rFonts w:ascii="Times New Roman" w:hAnsi="Times New Roman"/>
          <w:b/>
          <w:sz w:val="20"/>
        </w:rPr>
        <w:t>EMA</w:t>
      </w:r>
      <w:r>
        <w:rPr>
          <w:rFonts w:ascii="Times New Roman" w:hAnsi="Times New Roman"/>
          <w:sz w:val="20"/>
        </w:rPr>
        <w:t>”) or any other similar federal, state, local or foreign governmental or regulatory authority alleging or asserting material noncompliance with any Health Care Laws (defined below) or any licenses, certificates, approvals, authorizations, registrations, exemptions, permits and supplements or amendments thereto required by any Health Care Laws to conduct the Company’s business as described in the SEC Reports (“</w:t>
      </w:r>
      <w:r>
        <w:rPr>
          <w:rFonts w:ascii="Times New Roman" w:hAnsi="Times New Roman"/>
          <w:b/>
          <w:sz w:val="20"/>
        </w:rPr>
        <w:t>Authorizations</w:t>
      </w:r>
      <w:r>
        <w:rPr>
          <w:rFonts w:ascii="Times New Roman" w:hAnsi="Times New Roman"/>
          <w:sz w:val="20"/>
        </w:rPr>
        <w:t>”); (ii) possess all applicable Authorizations and such Authorizations are valid and in full force and effect and neither the Company nor its subsidiaries is in violation of any such Authorizations; (iii) have not received written notice of any pending or threatened claim, action, suit, proceeding, hearing, enforcement, investigation, arbitration or other action from the FDA, EMA or any other federal, state, local or foreign governmental or regulatory authority or third party alleging that any product candidate, operation, or activity is in material violation of any Health Care Laws or Authorizations and the Company has no knowledge that the FDA, EMA or any other federal, state, local or foreign governmental or regulatory authority or third party is considering any such claim, action, suit, proceeding, hearing, enforcement, investigation, arbitration or other action; (iv) have not received written notice that the FDA, EMA or any other federal, state, local or foreign governmental or regulatory authority has taken, is taking or intends to take action to limit, suspend, materially modify or revoke any material Authorizations and has no knowledge that the FDA, EMA or any other federal, state, local or foreign governmental or regulatory authority is considering such action; and (v) have filed, obtained, maintained or submitted all material reports, documents, forms, notices, applications, records, claims, submissions and supplements or amendments as required by any Health Care Laws or Authorizations and all such reports, documents, forms, notices, applications, records, claims, submissions and supplements or amendments were materially true, complete and correct on the date filed (or were corrected or supplemented by a subsequent submission). The preclinical studies and tests and clinical studies that have been or are being conducted or sponsored by or on behalf of the Company or in which the Company’s product candidates participated, or that are described in, or the results of which are referred to in, the SEC Reports (collectively, “</w:t>
      </w:r>
      <w:r>
        <w:rPr>
          <w:rFonts w:ascii="Times New Roman" w:hAnsi="Times New Roman"/>
          <w:b/>
          <w:sz w:val="20"/>
        </w:rPr>
        <w:t>Studies</w:t>
      </w:r>
      <w:r>
        <w:rPr>
          <w:rFonts w:ascii="Times New Roman" w:hAnsi="Times New Roman"/>
          <w:sz w:val="20"/>
        </w:rPr>
        <w:t xml:space="preserve">”) were and, if still pending, are being conducted in all material respects in accordance with all Health Care Laws and Authorizations, including, without limitation, 21 C.F.R. Parts 50, 54, 56, 58, and 312. The descriptions of the Studies, and the results thereof, contained in the SEC Reports are accurate in all material respects. The Company is not aware of any studies or tests, the results of which are materially inconsistent with or otherwise call into question the results described or referred to in the SEC Reports. Except to the extent disclosed in the SEC Reports, the Company has not received any written notices or correspondence from the FDA or any other federal, state, local or foreign governmental or regulatory authority requiring the termination, suspension or material modification of any Studies or other preclinical studies or tests or clinical studies conducted or proposed to be conducted by or on behalf of or sponsored by the Company or in which the Company’s product candidates participated, where such termination, suspension or material modification would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 with Health Care Laws</w:t>
      </w:r>
      <w:r>
        <w:rPr>
          <w:rFonts w:ascii="Times New Roman" w:hAnsi="Times New Roman"/>
          <w:sz w:val="20"/>
        </w:rPr>
        <w:t>. The Company and its subsidiaries are and during the past three years have operated in material compliance with all applicable health care laws, including, (i) the Federal Food, Drug, and Cosmetic Act (21 U.S.C. §§ 301 et seq.), the Public Health Service Act (42 U.S.C. §§ 201 et seq.), and the Controlled Substances Act (21 U.S.C. §§ 801 et seq.); (ii) applicable federal, state, local and foreign health care related fraud and abuse laws, including, the federal health care Anti-Kickback Statute (42 U.S.C. § 1320a-7b(b)), the civil False Claims Act (31 U.S.C. §§ 3729 et seq.), criminal false claims provisions including 42 U.S.C. § 1320a-7b(a)), 18 U.S.C. §§ 286, 287, 1035, and 1349 and the health care fraud criminal provisions under the U.S. Health Insurance Portability and Accountability Act of 1996, the exclusion law (42 U.S.C. § 1320a-7), the civil monetary penalties law (42 U.S.C. § 1320a-7a) and the Patient Protection and Affordable Care Act of 2010 (Pub. Law 111-148), as amended by the Health Care and Education Reconciliation Act of 2010 (Pub. Law 111-152), including without limitation the U.S. Physician Payments Sunshine Act (42 U.S.C. § 1320a-7h); (iii) the applicable requirements of Titles XVIII (Medicare), Title XIX (Medicaid) of the Social Security Act and any other law governing or pertaining to a government healthcare program; (iv) the data privacy and security provisions under HIPAA, as amended by the Health Information Technology for Economic and Clinical Health Act (42 U.S.C. §§ 1320d et seq., 42 U.S.C. §§ 17921 et seq.); (v) the regulations promulgated pursuant to all such laws; and (vi) other similar local, state, federal, or foreign laws and regulations (collectively, the “</w:t>
      </w:r>
      <w:r>
        <w:rPr>
          <w:rFonts w:ascii="Times New Roman" w:hAnsi="Times New Roman"/>
          <w:b/>
          <w:sz w:val="20"/>
        </w:rPr>
        <w:t>Health Care Laws</w:t>
      </w:r>
      <w:r>
        <w:rPr>
          <w:rFonts w:ascii="Times New Roman" w:hAnsi="Times New Roman"/>
          <w:sz w:val="20"/>
        </w:rPr>
        <w:t>”). Neither the Company nor its subsidiaries nor any of its officers, directors or employees, nor, to the knowledge of the Company, any of its agents, have been excluded, suspended or debarred from participation in any federal health care program as defined in 42 U.S.C. § 1320a-7b(f) (“</w:t>
      </w:r>
      <w:r>
        <w:rPr>
          <w:rFonts w:ascii="Times New Roman" w:hAnsi="Times New Roman"/>
          <w:b/>
          <w:sz w:val="20"/>
        </w:rPr>
        <w:t>Programs</w:t>
      </w:r>
      <w:r>
        <w:rPr>
          <w:rFonts w:ascii="Times New Roman" w:hAnsi="Times New Roman"/>
          <w:sz w:val="20"/>
        </w:rPr>
        <w:t xml:space="preserve">”) or human clinical research or, to the knowledge of the Company, is subject to a governmental inquiry, investigation, proceeding, or other similar action that could reasonably be expected to result in debarment, suspension, or exclusion from the Programs. The Company is not a party to and the Company does not have any ongoing reporting obligations pursuant to, any corporate integrity agreements, deferred or non-prosecution agreements, monitoring agreements, consent decrees, settlement orders, plans of correction or similar agreements with or imposed by a governmental body or agency.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or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offered or sold the Securities by any form of “general solicitation or general advertising” within the meaning contemplated by Rule 502(c) of Regulation D, including but not limited to in any manner involving a public offering within the meaning of Section 4(a)(2) of the Securities Act.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Nasdaq. Assuming the accuracy of the representations and warranties of the Investors set forth in </w:t>
      </w:r>
      <w:r>
        <w:rPr>
          <w:rFonts w:ascii="Times New Roman" w:hAnsi="Times New Roman"/>
          <w:sz w:val="20"/>
          <w:u w:val="single"/>
        </w:rPr>
        <w:t>Section 4</w:t>
      </w:r>
      <w:r>
        <w:rPr>
          <w:rFonts w:ascii="Times New Roman" w:hAnsi="Times New Roman"/>
          <w:sz w:val="20"/>
        </w:rPr>
        <w:t xml:space="preserve">,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Brokers and Finders</w:t>
      </w:r>
      <w:r>
        <w:rPr>
          <w:rFonts w:ascii="Times New Roman" w:hAnsi="Times New Roman"/>
          <w:sz w:val="20"/>
        </w:rPr>
        <w:t xml:space="preserve">. Other than the Placement Agents,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[Reserved]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and any Investor with respect to the transactions contemplated by the Transaction Agreements other than (i) as specified in the Transaction Agreements and (ii) any side letter agreements with any of the Investors, which side letters the Company has shared with all Investors.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Anti-Bribery and Anti-Money Laundering Laws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xml:space="preserve">”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under the Health Insurance Portability and Accountability Act of 1996, as amended by the Health Information Technology for Economic and Clinical Health Act;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w:t>
      </w:r>
      <w:r>
        <w:rPr>
          <w:rFonts w:ascii="Times New Roman" w:hAnsi="Times New Roman"/>
          <w:sz w:val="20"/>
        </w:rPr>
        <w:t xml:space="preserve"> </w:t>
      </w:r>
      <w:r>
        <w:rPr>
          <w:rFonts w:ascii="Times New Roman" w:hAnsi="Times New Roman"/>
          <w:b/>
          <w:sz w:val="20"/>
        </w:rPr>
        <w:t>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3.34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on the other hand, that is required to be described in the SEC Reports that is not so described.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and the Placement Agents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of this Agreement and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The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by the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The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The Investor hereby represents and warrants that, it (i) as of the date of this Agreement is an institutional “accredited investor” within the meaning of Rule 501 (a)(1), (2), (3) and (7) of Regulation D under the Securities Act, and (b) either (1) a “qualified institutional buyer” within the meaning of Rule 144A under the Securities Act or (2) an “institutional account” within the meaning of Rule 4512(c) of the Rules of FINRA. The Investor further represents and warrants that that it has not been organized for the purpose of acquiring the Securities.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represents and warrants that the Investor is a sophisticated investor, experienced in investing in private equity transactions, is capable of evaluating the risks of investing in the Securities, and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The Investor acknowledges and agrees that the Investor is purchasing the Securities directly from the Company. Investor became aware of this offering of the Securities solely by means of direct contact from a Placement Agent or directly from the Company as a result of a pre-existing, substantive relationship with the Company or such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that preceded commencement of the offering of the Securities. The Securities were offered to Investor solely by direct contact between Investor and the Company, a Placement Agent and/or their respective representatives. Investor did not become aware of this offering of the Securities, nor were the Securities offered to Investor, by any other means, and none of the Company,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of this Agreement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xml:space="preserve">. The Company shall use commercially reasonable efforts to maintain the listing and trading of its Common Stock on the Nasdaq Global Select Market and, in accordance therewith, will use reasonable best efforts to comply in all material respects with the Company’s reporting, filing and other obligations under the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of this Agreement, issue a press release and/or file with the SEC a Current Report on Form 8-K (including, if applicable, all exhibits thereto, the “</w:t>
      </w:r>
      <w:r>
        <w:rPr>
          <w:rFonts w:ascii="Times New Roman" w:hAnsi="Times New Roman"/>
          <w:b/>
          <w:sz w:val="20"/>
        </w:rPr>
        <w:t>Disclosure Document</w:t>
      </w:r>
      <w:r>
        <w:rPr>
          <w:rFonts w:ascii="Times New Roman" w:hAnsi="Times New Roman"/>
          <w:sz w:val="20"/>
        </w:rPr>
        <w:t xml:space="preserve">”)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disclosed to the Investors. Following the issuance of the Disclosure Document, no Investor shall be in possession of any material non-public information concerning the Company disclosed to the Investors by the Company or its representatives. The Company understands and confirms that the Investors will rely on the foregoing representations in effecting securities transactions.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any registration statement contemplated by the Registration Rights Agreement) or any regulatory agency, without the prior written consent of the Investor, except (i) as required by the federal securities laws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Select Market.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sz w:val="20"/>
          <w:u w:val="single"/>
        </w:rPr>
        <w:t>Section 5.5(b)</w:t>
      </w:r>
      <w:r>
        <w:rPr>
          <w:rFonts w:ascii="Times New Roman" w:hAnsi="Times New Roman"/>
          <w:sz w:val="20"/>
        </w:rPr>
        <w:t xml:space="preserve">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Commissions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Subsequent Equity Sales</w:t>
      </w:r>
      <w:r>
        <w:rPr>
          <w:rFonts w:ascii="Times New Roman" w:hAnsi="Times New Roman"/>
          <w:sz w:val="20"/>
        </w:rPr>
        <w:t xml:space="preserve">. From the date of this Agreement until the earlier of (a) sixty (60) days after the Closing Date and (b) 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foregoing, the provisions of this </w:t>
      </w:r>
      <w:r>
        <w:rPr>
          <w:rFonts w:ascii="Times New Roman" w:hAnsi="Times New Roman"/>
          <w:sz w:val="20"/>
          <w:u w:val="single"/>
        </w:rPr>
        <w:t>Section 5.11</w:t>
      </w:r>
      <w:r>
        <w:rPr>
          <w:rFonts w:ascii="Times New Roman" w:hAnsi="Times New Roman"/>
          <w:sz w:val="20"/>
        </w:rPr>
        <w:t xml:space="preserve"> shall not apply to (i) the issuance of the Securities hereunder,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 in accordance with Nasdaq Stock Market Rule 5635(c)(4), or (iv) the filing of a registration statement on Form S-8 under the Securities Act to register the offer and sale of securities pursuant to an equity incentive plan or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Reservation of Common Stock</w:t>
      </w:r>
      <w:r>
        <w:rPr>
          <w:rFonts w:ascii="Times New Roman" w:hAnsi="Times New Roman"/>
          <w:sz w:val="20"/>
        </w:rPr>
        <w:t xml:space="preserve">.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of this Agreement, no event or series of events shall have occurred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and the Placement Agents the opinion of Cooley LLP, dated as of the Closing Date, in customary form and substance to be reasonably agreed upon with the Investors and addressing such legal matters as the Investors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 (Representations and Warranties)</w:t>
      </w:r>
      <w:r>
        <w:rPr>
          <w:rFonts w:ascii="Times New Roman" w:hAnsi="Times New Roman"/>
          <w:sz w:val="20"/>
        </w:rPr>
        <w:t xml:space="preserve">, </w:t>
      </w:r>
      <w:r>
        <w:rPr>
          <w:rFonts w:ascii="Times New Roman" w:hAnsi="Times New Roman"/>
          <w:sz w:val="20"/>
          <w:u w:val="single"/>
        </w:rPr>
        <w:t>6.1(b) (Performance)</w:t>
      </w:r>
      <w:r>
        <w:rPr>
          <w:rFonts w:ascii="Times New Roman" w:hAnsi="Times New Roman"/>
          <w:sz w:val="20"/>
        </w:rPr>
        <w:t xml:space="preserve">, </w:t>
      </w:r>
      <w:r>
        <w:rPr>
          <w:rFonts w:ascii="Times New Roman" w:hAnsi="Times New Roman"/>
          <w:sz w:val="20"/>
          <w:u w:val="single"/>
        </w:rPr>
        <w:t>6.1(c) (No Injunction)</w:t>
      </w:r>
      <w:r>
        <w:rPr>
          <w:rFonts w:ascii="Times New Roman" w:hAnsi="Times New Roman"/>
          <w:sz w:val="20"/>
        </w:rPr>
        <w:t xml:space="preserve">, </w:t>
      </w:r>
      <w:r>
        <w:rPr>
          <w:rFonts w:ascii="Times New Roman" w:hAnsi="Times New Roman"/>
          <w:sz w:val="20"/>
          <w:u w:val="single"/>
        </w:rPr>
        <w:t>6.1(d) (Consents)</w:t>
      </w:r>
      <w:r>
        <w:rPr>
          <w:rFonts w:ascii="Times New Roman" w:hAnsi="Times New Roman"/>
          <w:sz w:val="20"/>
        </w:rPr>
        <w:t xml:space="preserve">, </w:t>
      </w:r>
      <w:r>
        <w:rPr>
          <w:rFonts w:ascii="Times New Roman" w:hAnsi="Times New Roman"/>
          <w:sz w:val="20"/>
          <w:u w:val="single"/>
        </w:rPr>
        <w:t>6.1(e) (Transfer Agent)</w:t>
      </w:r>
      <w:r>
        <w:rPr>
          <w:rFonts w:ascii="Times New Roman" w:hAnsi="Times New Roman"/>
          <w:sz w:val="20"/>
        </w:rPr>
        <w:t xml:space="preserve">, </w:t>
      </w:r>
      <w:r>
        <w:rPr>
          <w:rFonts w:ascii="Times New Roman" w:hAnsi="Times New Roman"/>
          <w:sz w:val="20"/>
          <w:u w:val="single"/>
        </w:rPr>
        <w:t>6.1(f) (Adverse Changes)</w:t>
      </w:r>
      <w:r>
        <w:rPr>
          <w:rFonts w:ascii="Times New Roman" w:hAnsi="Times New Roman"/>
          <w:sz w:val="20"/>
        </w:rPr>
        <w:t xml:space="preserve">, </w:t>
      </w:r>
      <w:r>
        <w:rPr>
          <w:rFonts w:ascii="Times New Roman" w:hAnsi="Times New Roman"/>
          <w:sz w:val="20"/>
          <w:u w:val="single"/>
        </w:rPr>
        <w:t>6.1(k) (Listing Requirements)</w:t>
      </w:r>
      <w:r>
        <w:rPr>
          <w:rFonts w:ascii="Times New Roman" w:hAnsi="Times New Roman"/>
          <w:sz w:val="20"/>
        </w:rPr>
        <w:t xml:space="preserve"> and </w:t>
      </w:r>
      <w:r>
        <w:rPr>
          <w:rFonts w:ascii="Times New Roman" w:hAnsi="Times New Roman"/>
          <w:sz w:val="20"/>
          <w:u w:val="single"/>
        </w:rPr>
        <w:t>6.1(l) (No Injunction)</w:t>
      </w:r>
      <w:r>
        <w:rPr>
          <w:rFonts w:ascii="Times New Roman" w:hAnsi="Times New Roman"/>
          <w:sz w:val="20"/>
        </w:rPr>
        <w:t xml:space="preserve">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Requirements</w:t>
      </w:r>
      <w:r>
        <w:rPr>
          <w:rFonts w:ascii="Times New Roman" w:hAnsi="Times New Roman"/>
          <w:sz w:val="20"/>
        </w:rPr>
        <w:t xml:space="preserve">.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Shares and the Pre-Funded Warrant Shares and Nasdaq shall have raised no objection to such notice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Injunction</w:t>
      </w:r>
      <w:r>
        <w:rPr>
          <w:rFonts w:ascii="Times New Roman" w:hAnsi="Times New Roman"/>
          <w:sz w:val="20"/>
        </w:rPr>
        <w:t xml:space="preserve">.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the Investors,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Investors that agreed to purchase a majority of the Securities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(with respect to itself only)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By either the Company or an Investor (with respect to itself only) if the Closing has not occurred on or prior to the fifth Business Day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In the event of any termination pursuant to Section 7.1, this Agreement shall become null and void and have no further effect, with no liability on the part of the Company or the Investors with respect to this Agreement, except nothing in this Section 7.1 shall relieve any party from liability or damages incurred or suffered by the other party resulting or arising from any willful and intentional breach of this Agreement or fraud.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by the Company or the Investor of its obligations to effect the Closing pursuant to </w:t>
      </w:r>
      <w:r>
        <w:rPr>
          <w:rFonts w:ascii="Times New Roman" w:hAnsi="Times New Roman"/>
          <w:sz w:val="20"/>
          <w:u w:val="single"/>
        </w:rPr>
        <w:t>Section 7.1</w:t>
      </w:r>
      <w:r>
        <w:rPr>
          <w:rFonts w:ascii="Times New Roman" w:hAnsi="Times New Roman"/>
          <w:sz w:val="20"/>
        </w:rPr>
        <w:t xml:space="preserve">, written notice thereof shall be given to the other Investors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the earlier of (x) confirmation of receipt or (y) on the open of business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addressed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MapLight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800 Chesapeake Drive </w:t>
      </w:r>
    </w:p>
    <w:p>
      <w:pPr>
        <w:pStyle w:val="TextBody"/>
        <w:bidi w:val="0"/>
        <w:spacing w:before="0" w:after="0"/>
        <w:jc w:val="left"/>
        <w:rPr>
          <w:rFonts w:ascii="Times New Roman" w:hAnsi="Times New Roman"/>
          <w:sz w:val="20"/>
        </w:rPr>
      </w:pPr>
      <w:r>
        <w:rPr>
          <w:rFonts w:ascii="Times New Roman" w:hAnsi="Times New Roman"/>
          <w:sz w:val="20"/>
        </w:rPr>
        <w:t xml:space="preserve">Redwood City, California 94063 </w:t>
      </w:r>
    </w:p>
    <w:p>
      <w:pPr>
        <w:pStyle w:val="TextBody"/>
        <w:bidi w:val="0"/>
        <w:spacing w:before="0" w:after="0"/>
        <w:jc w:val="left"/>
        <w:rPr>
          <w:rFonts w:ascii="Times New Roman" w:hAnsi="Times New Roman"/>
          <w:sz w:val="20"/>
        </w:rPr>
      </w:pPr>
      <w:r>
        <w:rPr>
          <w:rFonts w:ascii="Times New Roman" w:hAnsi="Times New Roman"/>
          <w:sz w:val="20"/>
        </w:rPr>
        <w:t xml:space="preserve">Attention: Kristopher L. Hanson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11951 Freedom Drive </w:t>
      </w:r>
    </w:p>
    <w:p>
      <w:pPr>
        <w:pStyle w:val="TextBody"/>
        <w:bidi w:val="0"/>
        <w:spacing w:before="0" w:after="0"/>
        <w:jc w:val="left"/>
        <w:rPr>
          <w:rFonts w:ascii="Times New Roman" w:hAnsi="Times New Roman"/>
          <w:sz w:val="20"/>
        </w:rPr>
      </w:pPr>
      <w:r>
        <w:rPr>
          <w:rFonts w:ascii="Times New Roman" w:hAnsi="Times New Roman"/>
          <w:sz w:val="20"/>
        </w:rPr>
        <w:t xml:space="preserve">Reston, Virginia 20190 </w:t>
      </w:r>
    </w:p>
    <w:p>
      <w:pPr>
        <w:pStyle w:val="TextBody"/>
        <w:bidi w:val="0"/>
        <w:spacing w:before="0" w:after="0"/>
        <w:jc w:val="left"/>
        <w:rPr>
          <w:rFonts w:ascii="Times New Roman" w:hAnsi="Times New Roman"/>
          <w:sz w:val="20"/>
        </w:rPr>
      </w:pPr>
      <w:r>
        <w:rPr>
          <w:rFonts w:ascii="Times New Roman" w:hAnsi="Times New Roman"/>
          <w:sz w:val="20"/>
        </w:rPr>
        <w:t xml:space="preserve">Attention: Mark Ballantyne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or e-mail address set forth on the signature pages hereto or </w:t>
      </w:r>
      <w:r>
        <w:rPr>
          <w:rFonts w:ascii="Times New Roman" w:hAnsi="Times New Roman"/>
          <w:sz w:val="20"/>
          <w:u w:val="single"/>
        </w:rPr>
        <w:t>Exhibit A</w:t>
      </w:r>
      <w:r>
        <w:rPr>
          <w:rFonts w:ascii="Times New Roman" w:hAnsi="Times New Roman"/>
          <w:sz w:val="20"/>
        </w:rPr>
        <w:t xml:space="preserve">, or such address as subsequently modified by written notice given in accordance with this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pages hereto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8.2</w:t>
      </w:r>
      <w:r>
        <w:rPr>
          <w:rFonts w:ascii="Times New Roman" w:hAnsi="Times New Roman"/>
          <w:sz w:val="20"/>
        </w:rPr>
        <w:t xml:space="preserve">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The Company shall pay all placement agent fees relating to or arising out of the transactions contemplated by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and the Registration Rights Agreement with the SEC as exhibit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Reliance by and Exculpation of Placement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agrees for the express benefit of the Placement Agents, its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the Placement Agents are acting solely as placement agents in connection with the transactions contemplated hereby and is not acting as an underwriter, initial purchaser, dealer or in any other such capacity and is not and shall not be construed as a fiduciary for such Investor, (iii) the Placement Agents, their affiliates and representatives have not made, and will not make any representations or warranties with respect to the Company or the offer and sale of the Securities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matter concerning the Company or the transactions contemplated hereby, and the Investor will not rely on any statements made by the Placement Agents, orally or in writing, to the contrary, (iv) the Investor will be responsible for conducting its own due diligence investigation with respect to the Company and the offer and sale of the Securities, (v) the Investor will be purchasing Securities based on the results of its own due diligence investigation of the Company, and the Placement Agents and each of their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hAnsi="Times New Roman"/>
          <w:sz w:val="20"/>
          <w:u w:val="single"/>
        </w:rPr>
        <w:t>Section 8.10</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Placement Agents nor any of their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agrees that the Placement Agents, their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a placement agent hereunder pursuant to the indemnification provisions set forth in the applicable letter agreement between the Company and the Placement Agents.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the Placement Agents are intended third-party beneficiaries of the representations and warranties of the Company and of each Investor set forth in </w:t>
      </w: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Section 4</w:t>
      </w:r>
      <w:r>
        <w:rPr>
          <w:rFonts w:ascii="Times New Roman" w:hAnsi="Times New Roman"/>
          <w:sz w:val="20"/>
        </w:rPr>
        <w:t xml:space="preserve"> and </w:t>
      </w:r>
      <w:r>
        <w:rPr>
          <w:rFonts w:ascii="Times New Roman" w:hAnsi="Times New Roman"/>
          <w:sz w:val="20"/>
          <w:u w:val="single"/>
        </w:rPr>
        <w:t>Section 6.1(h)</w:t>
      </w:r>
      <w:r>
        <w:rPr>
          <w:rFonts w:ascii="Times New Roman" w:hAnsi="Times New Roman"/>
          <w:sz w:val="20"/>
        </w:rPr>
        <w:t xml:space="preserve"> and </w:t>
      </w:r>
      <w:r>
        <w:rPr>
          <w:rFonts w:ascii="Times New Roman" w:hAnsi="Times New Roman"/>
          <w:sz w:val="20"/>
          <w:u w:val="single"/>
        </w:rPr>
        <w:t>Section 8.10</w:t>
      </w:r>
      <w:r>
        <w:rPr>
          <w:rFonts w:ascii="Times New Roman" w:hAnsi="Times New Roman"/>
          <w:sz w:val="20"/>
        </w:rPr>
        <w:t xml:space="preserve"> respectively, of this Agreement and (ii) the Indemnified Persons are intended third-party beneficiaries of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each of the Investors. Notwithstanding the foregoing, this Agreement may not be amended and the observance of any term of this Agreement may not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hAnsi="Times New Roman"/>
          <w:sz w:val="20"/>
          <w:u w:val="single"/>
        </w:rPr>
        <w:t>Section 8.15</w:t>
      </w:r>
      <w:r>
        <w:rPr>
          <w:rFonts w:ascii="Times New Roman" w:hAnsi="Times New Roman"/>
          <w:sz w:val="20"/>
        </w:rPr>
        <w:t xml:space="preserve"> shall be valid without the prior written consent of the Placement Agents, which consent may be granted or withheld in the sole discretion of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127"/>
        <w:gridCol w:w="3261"/>
      </w:tblGrid>
      <w:tr>
        <w:trPr/>
        <w:tc>
          <w:tcPr>
            <w:tcW w:w="6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MAPLIGHT THERAPEUTICS, INC.</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pBdr>
                <w:bottom w:val="single" w:sz="2" w:space="1" w:color="000000"/>
              </w:pBdr>
              <w:bidi w:val="0"/>
              <w:spacing w:before="0" w:after="20"/>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Name:</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283"/>
              <w:jc w:val="left"/>
              <w:rPr/>
            </w:pPr>
            <w:r>
              <w:rPr/>
              <w:t>[]</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right"/>
        <w:rPr>
          <w:rFonts w:ascii="Times New Roman" w:hAnsi="Times New Roman"/>
          <w:b/>
          <w:sz w:val="20"/>
        </w:rPr>
      </w:pPr>
      <w:bookmarkStart w:id="6" w:name="d48818dex102.htm"/>
      <w:bookmarkStart w:id="7" w:name="ksd48818dex102"/>
      <w:bookmarkEnd w:id="6"/>
      <w:bookmarkEnd w:id="7"/>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August 13, 2026, is entered into by and among MapLight Therapeutics, Inc.,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severally and not jointly, an aggregate of up to 13,181,055 shares (the “</w:t>
      </w:r>
      <w:r>
        <w:rPr>
          <w:rFonts w:ascii="Times New Roman" w:hAnsi="Times New Roman"/>
          <w:b/>
          <w:sz w:val="20"/>
        </w:rPr>
        <w:t>Initial</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of the Company’s Voting Common Stock, par value $0.0001 per share (the “</w:t>
      </w:r>
      <w:r>
        <w:rPr>
          <w:rFonts w:ascii="Times New Roman" w:hAnsi="Times New Roman"/>
          <w:b/>
          <w:sz w:val="20"/>
        </w:rPr>
        <w:t>Common Stock</w:t>
      </w:r>
      <w:r>
        <w:rPr>
          <w:rFonts w:ascii="Times New Roman" w:hAnsi="Times New Roman"/>
          <w:sz w:val="20"/>
        </w:rPr>
        <w:t>”), and/or pre-funded warrants to purchase shares of Common Stock (the “</w:t>
      </w:r>
      <w:r>
        <w:rPr>
          <w:rFonts w:ascii="Times New Roman" w:hAnsi="Times New Roman"/>
          <w:b/>
          <w:sz w:val="20"/>
        </w:rPr>
        <w:t>Pre-Funded</w:t>
      </w:r>
      <w:r>
        <w:rPr>
          <w:rFonts w:ascii="Times New Roman" w:hAnsi="Times New Roman"/>
          <w:sz w:val="20"/>
        </w:rPr>
        <w:t xml:space="preserve"> </w:t>
      </w:r>
      <w:r>
        <w:rPr>
          <w:rFonts w:ascii="Times New Roman" w:hAnsi="Times New Roman"/>
          <w:b/>
          <w:sz w:val="20"/>
        </w:rPr>
        <w:t>Warrants</w:t>
      </w:r>
      <w:r>
        <w:rPr>
          <w:rFonts w:ascii="Times New Roman" w:hAnsi="Times New Roman"/>
          <w:sz w:val="20"/>
        </w:rPr>
        <w:t>”), in each case, pursuant to the Purchase Agreement. The Initial Shares and the shares of Common Stock issuable upon exercise of the Pre-Funded Warrants, without giving effect to any limitations on exercise of the Pre-Funded Warrants, and assuming all of the Pre-Funded Warrants are exercised for cash, are collectively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Prospectus</w:t>
      </w:r>
      <w:r>
        <w:rPr>
          <w:rFonts w:ascii="Times New Roman" w:hAnsi="Times New Roman"/>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Registrable Securities</w:t>
      </w:r>
      <w:r>
        <w:rPr>
          <w:rFonts w:ascii="Times New Roman" w:hAnsi="Times New Roman"/>
          <w:sz w:val="20"/>
        </w:rPr>
        <w:t xml:space="preserve">” means the Shares and any Common Stock issued or issuable with respect to the Shares as a result of any stock split or subdivision, stock dividend, recapitalization, exchange or similar event. Registrable Securities shall cease to be Registrable Securities upon the date on which the Investors shall have resold all the Registrable Securities covered by the Registration Statement.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defined below),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the Investors’ disposition of the Registrable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30 days after the Closing Date (the “</w:t>
      </w:r>
      <w:r>
        <w:rPr>
          <w:rFonts w:ascii="Times New Roman" w:hAnsi="Times New Roman"/>
          <w:b/>
          <w:sz w:val="20"/>
        </w:rPr>
        <w:t>Filing Deadline</w:t>
      </w:r>
      <w:r>
        <w:rPr>
          <w:rFonts w:ascii="Times New Roman" w:hAnsi="Times New Roman"/>
          <w:sz w:val="20"/>
        </w:rPr>
        <w:t>”),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hAnsi="Times New Roman"/>
          <w:sz w:val="20"/>
          <w:u w:val="single"/>
        </w:rPr>
        <w:t>Exhibit A</w:t>
      </w:r>
      <w:r>
        <w:rPr>
          <w:rFonts w:ascii="Times New Roman" w:hAnsi="Times New Roman"/>
          <w:sz w:val="20"/>
        </w:rPr>
        <w:t xml:space="preserve">.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(a)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sz w:val="20"/>
        </w:rPr>
        <w:t>Effectiveness Deadline</w:t>
      </w:r>
      <w:r>
        <w:rPr>
          <w:rFonts w:ascii="Times New Roman" w:hAnsi="Times New Roman"/>
          <w:sz w:val="20"/>
        </w:rPr>
        <w:t>”); provided, that if the SEC is closed for operations for one or more days (such days, the “</w:t>
      </w:r>
      <w:r>
        <w:rPr>
          <w:rFonts w:ascii="Times New Roman" w:hAnsi="Times New Roman"/>
          <w:b/>
          <w:sz w:val="20"/>
        </w:rPr>
        <w:t>Tolled Days</w:t>
      </w:r>
      <w:r>
        <w:rPr>
          <w:rFonts w:ascii="Times New Roman" w:hAnsi="Times New Roman"/>
          <w:sz w:val="20"/>
        </w:rPr>
        <w:t>”) due to a government shutdown or lapse in appropriations on or after the Effectiveness Deadline, the deadline shall be extended by the same amount of days that the SEC remains closed for operations. Notwithstanding the foregoing, if, after the 30th consecutive Tolled Day, the SEC remains closed or otherwise unable to review or declare effective registration statements filed with the SEC due to a continued shutdown or partial shutdown of the U.S. government or for similar reasons, then the Company shall promptly, and no later than the fifth Business Day after such 30th consecutive Tolled Day, file an amendment to the Initial Registration Statement to remove the delaying amendment language such that the Initial Registration Statement shall become effective in accordance with Section 8(a) of the Securities Act 20 calendar days after such filing.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so as to cover all of such Registrable Securities as soon as reasonably practicable, but in any event not later than ten Business Days after the necessity therefor arises (the “</w:t>
      </w:r>
      <w:r>
        <w:rPr>
          <w:rFonts w:ascii="Times New Roman" w:hAnsi="Times New Roman"/>
          <w:b/>
          <w:sz w:val="20"/>
        </w:rPr>
        <w:t>New Registration Filing Deadline</w:t>
      </w:r>
      <w:r>
        <w:rPr>
          <w:rFonts w:ascii="Times New Roman" w:hAnsi="Times New Roman"/>
          <w:sz w:val="20"/>
        </w:rPr>
        <w:t>”). The Company shall use its reasonable best efforts to have such amendment and/or New Registration Statement become effective as soon as reasonably practicable following the filing thereof but no later than the earlier of (a)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sz w:val="20"/>
        </w:rPr>
        <w:t>New Registration</w:t>
      </w:r>
      <w:r>
        <w:rPr>
          <w:rFonts w:ascii="Times New Roman" w:hAnsi="Times New Roman"/>
          <w:sz w:val="20"/>
        </w:rPr>
        <w:t xml:space="preserve"> </w:t>
      </w:r>
      <w:r>
        <w:rPr>
          <w:rFonts w:ascii="Times New Roman" w:hAnsi="Times New Roman"/>
          <w:b/>
          <w:sz w:val="20"/>
        </w:rPr>
        <w:t>Effectiveness Deadline</w:t>
      </w:r>
      <w:r>
        <w:rPr>
          <w:rFonts w:ascii="Times New Roman" w:hAnsi="Times New Roman"/>
          <w:sz w:val="20"/>
        </w:rPr>
        <w:t xml:space="preserve">”). The provisions of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shall apply to the New Registration Statement, except as modified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Liquidated Damages</w:t>
      </w:r>
      <w:r>
        <w:rPr>
          <w:rFonts w:ascii="Times New Roman" w:hAnsi="Times New Roman"/>
          <w:sz w:val="20"/>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(a “</w:t>
      </w:r>
      <w:r>
        <w:rPr>
          <w:rFonts w:ascii="Times New Roman" w:hAnsi="Times New Roman"/>
          <w:b/>
          <w:sz w:val="20"/>
        </w:rPr>
        <w:t>Maintenance Failure</w:t>
      </w:r>
      <w:r>
        <w:rPr>
          <w:rFonts w:ascii="Times New Roman" w:hAnsi="Times New Roman"/>
          <w:sz w:val="20"/>
        </w:rPr>
        <w:t>”),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hAnsi="Times New Roman"/>
          <w:b/>
          <w:sz w:val="20"/>
        </w:rPr>
        <w:t>Blackout Period</w:t>
      </w:r>
      <w:r>
        <w:rPr>
          <w:rFonts w:ascii="Times New Roman" w:hAnsi="Times New Roman"/>
          <w:sz w:val="20"/>
        </w:rPr>
        <w:t>”), provided that no liquidated damages shall be payable if and to the extent to, despite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hAnsi="Times New Roman"/>
          <w:b/>
          <w:sz w:val="20"/>
        </w:rPr>
        <w:t>Blackout Period Payment Date</w:t>
      </w:r>
      <w:r>
        <w:rPr>
          <w:rFonts w:ascii="Times New Roman" w:hAnsi="Times New Roman"/>
          <w:sz w:val="20"/>
        </w:rPr>
        <w:t xml:space="preserve">”). Interest shall accrue at the rate of 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by such Investor under the Purchase Agreement. Notwithstanding anything in this </w:t>
      </w:r>
      <w:r>
        <w:rPr>
          <w:rFonts w:ascii="Times New Roman" w:hAnsi="Times New Roman"/>
          <w:sz w:val="20"/>
          <w:u w:val="single"/>
        </w:rPr>
        <w:t>Section 2(d)</w:t>
      </w:r>
      <w:r>
        <w:rPr>
          <w:rFonts w:ascii="Times New Roman" w:hAnsi="Times New Roman"/>
          <w:sz w:val="20"/>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hAnsi="Times New Roman"/>
          <w:sz w:val="20"/>
          <w:u w:val="single"/>
        </w:rPr>
        <w:t>Section 2(a)</w:t>
      </w:r>
      <w:r>
        <w:rPr>
          <w:rFonts w:ascii="Times New Roman" w:hAnsi="Times New Roman"/>
          <w:sz w:val="20"/>
        </w:rPr>
        <w:t xml:space="preserve"> or </w:t>
      </w:r>
      <w:r>
        <w:rPr>
          <w:rFonts w:ascii="Times New Roman" w:hAnsi="Times New Roman"/>
          <w:sz w:val="20"/>
          <w:u w:val="single"/>
        </w:rPr>
        <w:t>Section 4(a)</w:t>
      </w:r>
      <w:r>
        <w:rPr>
          <w:rFonts w:ascii="Times New Roman" w:hAnsi="Times New Roman"/>
          <w:sz w:val="20"/>
        </w:rPr>
        <w:t xml:space="preserve"> within three Business Days of the Company’s request, any liquidated damages that would otherwise accrue as to such Investor only shall be tolled until such information is delivered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Allowable Delays.</w:t>
      </w:r>
      <w:r>
        <w:rPr>
          <w:rFonts w:ascii="Times New Roman" w:hAnsi="Times New Roman"/>
          <w:sz w:val="20"/>
        </w:rPr>
        <w:t> 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determines, in good faith and upon advice of legal counsel,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sz w:val="20"/>
        </w:rPr>
        <w:t>Allowed Delay</w:t>
      </w:r>
      <w:r>
        <w:rPr>
          <w:rFonts w:ascii="Times New Roman" w:hAnsi="Times New Roman"/>
          <w:sz w:val="20"/>
        </w:rPr>
        <w:t xml:space="preserve">”);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Rule 415; Cutback</w:t>
      </w:r>
      <w:r>
        <w:rPr>
          <w:rFonts w:ascii="Times New Roman" w:hAnsi="Times New Roman"/>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hAnsi="Times New Roman"/>
          <w:sz w:val="20"/>
          <w:u w:val="single"/>
        </w:rPr>
        <w:t>Section 2(f)</w:t>
      </w:r>
      <w:r>
        <w:rPr>
          <w:rFonts w:ascii="Times New Roman" w:hAnsi="Times New Roman"/>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2(f)</w:t>
      </w:r>
      <w:r>
        <w:rPr>
          <w:rFonts w:ascii="Times New Roman" w:hAnsi="Times New Roman"/>
          <w:sz w:val="20"/>
        </w:rPr>
        <w:t>, the SEC refuses to alter its position, the Company shall (i) remove from such Registration Statement such portion of the Registrable Securities (the “</w:t>
      </w:r>
      <w:r>
        <w:rPr>
          <w:rFonts w:ascii="Times New Roman" w:hAnsi="Times New Roman"/>
          <w:b/>
          <w:sz w:val="20"/>
        </w:rPr>
        <w:t>Cut Back Shares</w:t>
      </w:r>
      <w:r>
        <w:rPr>
          <w:rFonts w:ascii="Times New Roman" w:hAnsi="Times New Roman"/>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2(f)</w:t>
      </w:r>
      <w:r>
        <w:rPr>
          <w:rFonts w:ascii="Times New Roman" w:hAnsi="Times New Roman"/>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hAnsi="Times New Roman"/>
          <w:b/>
          <w:sz w:val="20"/>
        </w:rPr>
        <w:t>Restriction Termination Date</w:t>
      </w:r>
      <w:r>
        <w:rPr>
          <w:rFonts w:ascii="Times New Roman" w:hAnsi="Times New Roman"/>
          <w:sz w:val="20"/>
        </w:rPr>
        <w:t xml:space="preserve">”). From and after the Restriction Termination Date applicable to any Cut Back Shares, all of the provisions of this </w:t>
      </w:r>
      <w:r>
        <w:rPr>
          <w:rFonts w:ascii="Times New Roman" w:hAnsi="Times New Roman"/>
          <w:sz w:val="20"/>
          <w:u w:val="single"/>
        </w:rPr>
        <w:t>Section 2</w:t>
      </w:r>
      <w:r>
        <w:rPr>
          <w:rFonts w:ascii="Times New Roman" w:hAnsi="Times New Roman"/>
          <w:sz w:val="20"/>
        </w:rPr>
        <w:t xml:space="preserve">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Business Day following the Restriction Termination Date and the date by which the Company is required to have the Registration Statement effective with respect to such Cut Back Shares shall be the 55th day immediately after the Restriction Termination Date (or the 85th day if the SEC reviews such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hAnsi="Times New Roman"/>
          <w:b/>
          <w:sz w:val="20"/>
        </w:rPr>
        <w:t>Exchange Act</w:t>
      </w:r>
      <w:r>
        <w:rPr>
          <w:rFonts w:ascii="Times New Roman" w:hAnsi="Times New Roman"/>
          <w:sz w:val="20"/>
        </w:rPr>
        <w:t xml:space="preserve">”) with respect to the distribution of all of the Registrable Securities covered thereby, or (b) in the reasonable opinion of the Investors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such Investor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xml:space="preserve">.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hAnsi="Times New Roman"/>
          <w:sz w:val="20"/>
          <w:u w:val="single"/>
        </w:rPr>
        <w:t>Section 3(e)</w:t>
      </w:r>
      <w:r>
        <w:rPr>
          <w:rFonts w:ascii="Times New Roman" w:hAnsi="Times New Roman"/>
          <w:sz w:val="20"/>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best efforts to cause all Registrable Securities covered by a Registration Statement to be listed on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subsection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means the 45th day following the end of the fourth fiscal quarter that includes the effective date of such Registration Statement, except that, if such fourth fiscal quarter is the last quarter of the Company’s fiscal year, “</w:t>
      </w:r>
      <w:r>
        <w:rPr>
          <w:rFonts w:ascii="Times New Roman" w:hAnsi="Times New Roman"/>
          <w:b/>
          <w:sz w:val="20"/>
        </w:rPr>
        <w:t>Availability Date</w:t>
      </w:r>
      <w:r>
        <w:rPr>
          <w:rFonts w:ascii="Times New Roman" w:hAnsi="Times New Roman"/>
          <w:sz w:val="20"/>
        </w:rPr>
        <w:t xml:space="preserve">” means the 90th day after the end of such fourth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stock certificates through the use of The Depository Trust Company’s Direct Registration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in connection with the registration of the Registrable Securities. If the Company has not received such completed questionnaire from an Investor within three Business Days of the Company’s request, the Company may file the Registration Statement without including such Investor’s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sz w:val="20"/>
          <w:u w:val="single"/>
        </w:rPr>
        <w:t>Section 3(e)</w:t>
      </w:r>
      <w:r>
        <w:rPr>
          <w:rFonts w:ascii="Times New Roman" w:hAnsi="Times New Roman"/>
          <w:sz w:val="20"/>
        </w:rPr>
        <w:t xml:space="preserve">, such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36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members, the directors, officers, partners, employees, members, managers, agents, representatives and advisors of the Investors and each Person, if any, who controls any of the foregoing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 claims, damages, liabilities, contingencies, judgments, fines, penalties, charges, costs (including, without limitation, court costs and costs of preparation), reasonable and documented attorneys’ fees, amounts paid in settlement and reasonable and documented expenses, (collectively, “</w:t>
      </w:r>
      <w:r>
        <w:rPr>
          <w:rFonts w:ascii="Times New Roman" w:hAnsi="Times New Roman"/>
          <w:b/>
          <w:sz w:val="20"/>
        </w:rPr>
        <w:t>Indemnified Damages</w:t>
      </w:r>
      <w:r>
        <w:rPr>
          <w:rFonts w:ascii="Times New Roman" w:hAnsi="Times New Roman"/>
          <w:sz w:val="20"/>
        </w:rPr>
        <w:t>”) reasonably incurred in investigating, preparing, defending or participating as a witness in any action, claim, suit, inquiry, proceeding, investigation or appeal taken from the foregoing by or before any court or governmental, administrative or other regulatory agency or body or the SEC, whether pending or threatened, whether or not an Indemnified Person is or may be a party thereto (“</w:t>
      </w:r>
      <w:r>
        <w:rPr>
          <w:rFonts w:ascii="Times New Roman" w:hAnsi="Times New Roman"/>
          <w:b/>
          <w:sz w:val="20"/>
        </w:rPr>
        <w:t>Claims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12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36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36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120" w:after="0"/>
        <w:jc w:val="left"/>
        <w:rPr>
          <w:rFonts w:ascii="Times New Roman" w:hAnsi="Times New Roman"/>
          <w:sz w:val="20"/>
        </w:rPr>
      </w:pPr>
      <w:r>
        <w:rPr>
          <w:rFonts w:ascii="Times New Roman" w:hAnsi="Times New Roman"/>
          <w:sz w:val="20"/>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Investor may transfer or assign its rights hereunder, in whole or from time to time in part, to one or more Persons in connection with the transfer of not fewer than 500,000 (subject to appropriate adjustment in the event of any stock dividend, stock split, combination or other similar recapitalization) Registrable Securities (including Registrable Securities issuable upon exercise of Warrants)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Agreement shall be binding upon and inure to the benefit of each Investor and its respective successors and permitted assigns. </w:t>
      </w:r>
    </w:p>
    <w:p>
      <w:pPr>
        <w:pStyle w:val="TextBody"/>
        <w:bidi w:val="0"/>
        <w:spacing w:before="36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(3) any amendments to Section 6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36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earlier of (x) confirmation of receipt or (y) the opening of business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MapLight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800 Chesapeake Drive </w:t>
      </w:r>
    </w:p>
    <w:p>
      <w:pPr>
        <w:pStyle w:val="TextBody"/>
        <w:bidi w:val="0"/>
        <w:spacing w:before="0" w:after="0"/>
        <w:jc w:val="left"/>
        <w:rPr>
          <w:rFonts w:ascii="Times New Roman" w:hAnsi="Times New Roman"/>
          <w:sz w:val="20"/>
        </w:rPr>
      </w:pPr>
      <w:r>
        <w:rPr>
          <w:rFonts w:ascii="Times New Roman" w:hAnsi="Times New Roman"/>
          <w:sz w:val="20"/>
        </w:rPr>
        <w:t xml:space="preserve">Redwood City, California 94063 </w:t>
      </w:r>
    </w:p>
    <w:p>
      <w:pPr>
        <w:pStyle w:val="TextBody"/>
        <w:bidi w:val="0"/>
        <w:spacing w:before="0" w:after="0"/>
        <w:jc w:val="left"/>
        <w:rPr>
          <w:rFonts w:ascii="Times New Roman" w:hAnsi="Times New Roman"/>
          <w:sz w:val="20"/>
        </w:rPr>
      </w:pPr>
      <w:r>
        <w:rPr>
          <w:rFonts w:ascii="Times New Roman" w:hAnsi="Times New Roman"/>
          <w:sz w:val="20"/>
        </w:rPr>
        <w:t xml:space="preserve">Attention: Kristopher L. Hanson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11951 Freedom Drive </w:t>
      </w:r>
    </w:p>
    <w:p>
      <w:pPr>
        <w:pStyle w:val="TextBody"/>
        <w:bidi w:val="0"/>
        <w:spacing w:before="0" w:after="0"/>
        <w:jc w:val="left"/>
        <w:rPr>
          <w:rFonts w:ascii="Times New Roman" w:hAnsi="Times New Roman"/>
          <w:sz w:val="20"/>
        </w:rPr>
      </w:pPr>
      <w:r>
        <w:rPr>
          <w:rFonts w:ascii="Times New Roman" w:hAnsi="Times New Roman"/>
          <w:sz w:val="20"/>
        </w:rPr>
        <w:t xml:space="preserve">Reston, Virginia 20190 </w:t>
      </w:r>
    </w:p>
    <w:p>
      <w:pPr>
        <w:pStyle w:val="TextBody"/>
        <w:bidi w:val="0"/>
        <w:spacing w:before="0" w:after="0"/>
        <w:jc w:val="left"/>
        <w:rPr>
          <w:rFonts w:ascii="Times New Roman" w:hAnsi="Times New Roman"/>
          <w:sz w:val="20"/>
        </w:rPr>
      </w:pPr>
      <w:r>
        <w:rPr>
          <w:rFonts w:ascii="Times New Roman" w:hAnsi="Times New Roman"/>
          <w:sz w:val="20"/>
        </w:rPr>
        <w:t xml:space="preserve">Attention: Mark Ballantyne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e-mail address set forth below the Investor’s name on the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The provisions of </w:t>
      </w:r>
      <w:r>
        <w:rPr>
          <w:rFonts w:ascii="Times New Roman" w:hAnsi="Times New Roman"/>
          <w:sz w:val="20"/>
          <w:u w:val="single"/>
        </w:rPr>
        <w:t>Section 8.5</w:t>
      </w:r>
      <w:r>
        <w:rPr>
          <w:rFonts w:ascii="Times New Roman" w:hAnsi="Times New Roman"/>
          <w:sz w:val="20"/>
        </w:rPr>
        <w:t xml:space="preserve">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Third Party Beneficiaries</w:t>
      </w:r>
      <w:r>
        <w:rPr>
          <w:rFonts w:ascii="Times New Roman" w:hAnsi="Times New Roman"/>
          <w:sz w:val="20"/>
        </w:rPr>
        <w:t xml:space="preserve">. Except as set forth in Sections 6, 7 and 8,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127"/>
        <w:gridCol w:w="3261"/>
      </w:tblGrid>
      <w:tr>
        <w:trPr/>
        <w:tc>
          <w:tcPr>
            <w:tcW w:w="6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MAPLIGHT THERAPEUTICS, INC.</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pBdr>
                <w:bottom w:val="single" w:sz="2" w:space="1" w:color="000000"/>
              </w:pBdr>
              <w:bidi w:val="0"/>
              <w:spacing w:before="0" w:after="20"/>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Name:</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87"/>
        <w:gridCol w:w="182"/>
        <w:gridCol w:w="2913"/>
      </w:tblGrid>
      <w:tr>
        <w:trPr/>
        <w:tc>
          <w:tcPr>
            <w:tcW w:w="98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987" w:type="dxa"/>
            <w:tcBorders/>
            <w:vAlign w:val="center"/>
          </w:tcPr>
          <w:p>
            <w:pPr>
              <w:pStyle w:val="TableContents"/>
              <w:bidi w:val="0"/>
              <w:spacing w:before="0" w:after="283"/>
              <w:jc w:val="left"/>
              <w:rPr>
                <w:sz w:val="4"/>
                <w:szCs w:val="4"/>
              </w:rPr>
            </w:pPr>
            <w:r>
              <w:rPr>
                <w:sz w:val="4"/>
                <w:szCs w:val="4"/>
              </w:rPr>
            </w:r>
          </w:p>
        </w:tc>
        <w:tc>
          <w:tcPr>
            <w:tcW w:w="3095" w:type="dxa"/>
            <w:gridSpan w:val="2"/>
            <w:tcBorders/>
            <w:vAlign w:val="center"/>
          </w:tcPr>
          <w:p>
            <w:pPr>
              <w:pStyle w:val="TableContents"/>
              <w:bidi w:val="0"/>
              <w:spacing w:before="0" w:after="283"/>
              <w:jc w:val="left"/>
              <w:rPr>
                <w:sz w:val="4"/>
                <w:szCs w:val="4"/>
              </w:rPr>
            </w:pPr>
            <w:r>
              <w:rPr>
                <w:sz w:val="4"/>
                <w:szCs w:val="4"/>
              </w:rPr>
            </w:r>
          </w:p>
        </w:tc>
      </w:tr>
      <w:tr>
        <w:trPr/>
        <w:tc>
          <w:tcPr>
            <w:tcW w:w="987" w:type="dxa"/>
            <w:tcBorders/>
          </w:tcPr>
          <w:p>
            <w:pPr>
              <w:pStyle w:val="TableContents"/>
              <w:bidi w:val="0"/>
              <w:spacing w:before="0" w:after="283"/>
              <w:jc w:val="left"/>
              <w:rPr/>
            </w:pPr>
            <w:r>
              <w:rPr/>
              <w:t>By:</w:t>
            </w:r>
          </w:p>
        </w:tc>
        <w:tc>
          <w:tcPr>
            <w:tcW w:w="182" w:type="dxa"/>
            <w:tcBorders/>
            <w:vAlign w:val="bottom"/>
          </w:tcPr>
          <w:p>
            <w:pPr>
              <w:pStyle w:val="TableContents"/>
              <w:bidi w:val="0"/>
              <w:spacing w:before="0" w:after="283"/>
              <w:jc w:val="left"/>
              <w:rPr/>
            </w:pPr>
            <w:r>
              <w:rPr/>
              <w:t> </w:t>
            </w:r>
          </w:p>
        </w:tc>
        <w:tc>
          <w:tcPr>
            <w:tcW w:w="2913"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97"/>
        <w:gridCol w:w="62"/>
        <w:gridCol w:w="3323"/>
      </w:tblGrid>
      <w:tr>
        <w:trPr/>
        <w:tc>
          <w:tcPr>
            <w:tcW w:w="69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564"/>
        <w:gridCol w:w="61"/>
        <w:gridCol w:w="3457"/>
      </w:tblGrid>
      <w:tr>
        <w:trPr/>
        <w:tc>
          <w:tcPr>
            <w:tcW w:w="56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6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908"/>
        <w:gridCol w:w="60"/>
        <w:gridCol w:w="3114"/>
      </w:tblGrid>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1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8" w:name="d48818dex991.htm"/>
      <w:bookmarkStart w:id="9" w:name="ksd48818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6901815" cy="862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01815" cy="8629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Reported positive results from the potentially registrational Phase 2 ZEPHYR trial of ML-007C-MA in schizophrenia, supporting advancement into a Phase 3 ZEPHYR-2 trial </w:t>
      </w:r>
    </w:p>
    <w:p>
      <w:pPr>
        <w:pStyle w:val="TextBody"/>
        <w:bidi w:val="0"/>
        <w:spacing w:before="240" w:after="0"/>
        <w:jc w:val="center"/>
        <w:rPr>
          <w:rFonts w:ascii="Times New Roman" w:hAnsi="Times New Roman"/>
          <w:i/>
          <w:sz w:val="20"/>
        </w:rPr>
      </w:pPr>
      <w:r>
        <w:rPr>
          <w:rFonts w:ascii="Times New Roman" w:hAnsi="Times New Roman"/>
          <w:i/>
          <w:sz w:val="20"/>
        </w:rPr>
        <w:t xml:space="preserve">Continued advancement of ML-007C-MA in ADP, with enrollment ongoing in the Phase 2 VISTA trial and topline results expected in the second half of 2027 </w:t>
      </w:r>
    </w:p>
    <w:p>
      <w:pPr>
        <w:pStyle w:val="TextBody"/>
        <w:bidi w:val="0"/>
        <w:spacing w:before="240" w:after="0"/>
        <w:jc w:val="center"/>
        <w:rPr>
          <w:rFonts w:ascii="Times New Roman" w:hAnsi="Times New Roman"/>
          <w:i/>
          <w:sz w:val="20"/>
        </w:rPr>
      </w:pPr>
      <w:r>
        <w:rPr>
          <w:rFonts w:ascii="Times New Roman" w:hAnsi="Times New Roman"/>
          <w:i/>
          <w:sz w:val="20"/>
        </w:rPr>
        <w:t xml:space="preserve">Reported Phase 2 IRIS results for ML-004 in autism spectrum disorder, with clinically meaningful improvements in irritability observed in a prespecified adolescent subgroup </w:t>
      </w:r>
    </w:p>
    <w:p>
      <w:pPr>
        <w:pStyle w:val="TextBody"/>
        <w:bidi w:val="0"/>
        <w:spacing w:before="240" w:after="0"/>
        <w:jc w:val="center"/>
        <w:rPr>
          <w:rFonts w:ascii="Times New Roman" w:hAnsi="Times New Roman"/>
          <w:i/>
          <w:sz w:val="20"/>
        </w:rPr>
      </w:pPr>
      <w:r>
        <w:rPr>
          <w:rFonts w:ascii="Times New Roman" w:hAnsi="Times New Roman"/>
          <w:i/>
          <w:sz w:val="20"/>
        </w:rPr>
        <w:t xml:space="preserve">Primarily focusing resources on the advancement of ML-007C-MA </w:t>
      </w:r>
    </w:p>
    <w:p>
      <w:pPr>
        <w:pStyle w:val="TextBody"/>
        <w:bidi w:val="0"/>
        <w:spacing w:before="240" w:after="0"/>
        <w:jc w:val="center"/>
        <w:rPr>
          <w:rFonts w:ascii="Times New Roman" w:hAnsi="Times New Roman"/>
          <w:i/>
          <w:sz w:val="20"/>
        </w:rPr>
      </w:pPr>
      <w:r>
        <w:rPr>
          <w:rFonts w:ascii="Times New Roman" w:hAnsi="Times New Roman"/>
          <w:i/>
          <w:sz w:val="20"/>
        </w:rPr>
        <w:t xml:space="preserve">Ended the quarter with $351.3 million in cash, cash equivalents and investments, which, together with the Company’s recent $150 million private placement, is expected to extend cash runway through 2028, including through the projected readouts for both VISTA and ZEPHYR-2 </w:t>
      </w:r>
    </w:p>
    <w:p>
      <w:pPr>
        <w:pStyle w:val="TextBody"/>
        <w:bidi w:val="0"/>
        <w:spacing w:before="240" w:after="0"/>
        <w:jc w:val="left"/>
        <w:rPr>
          <w:rFonts w:ascii="Times New Roman" w:hAnsi="Times New Roman"/>
          <w:sz w:val="20"/>
        </w:rPr>
      </w:pPr>
      <w:r>
        <w:rPr>
          <w:rFonts w:ascii="Times New Roman" w:hAnsi="Times New Roman"/>
          <w:b/>
          <w:sz w:val="20"/>
        </w:rPr>
        <w:t>SAN FRANCISCO and BOSTON, August</w:t>
      </w:r>
      <w:r>
        <w:rPr>
          <w:rFonts w:ascii="Times New Roman" w:hAnsi="Times New Roman"/>
          <w:sz w:val="20"/>
        </w:rPr>
        <w:t> </w:t>
      </w:r>
      <w:r>
        <w:rPr>
          <w:rFonts w:ascii="Times New Roman" w:hAnsi="Times New Roman"/>
          <w:b/>
          <w:sz w:val="20"/>
        </w:rPr>
        <w:t>13, 2026 (GLOBE NEWSWIRE)</w:t>
      </w:r>
      <w:r>
        <w:rPr>
          <w:rFonts w:ascii="Times New Roman" w:hAnsi="Times New Roman"/>
          <w:sz w:val="20"/>
        </w:rPr>
        <w:t xml:space="preserve"> — MapLight Therapeutics, Inc. (Nasdaq: MPLT), a clinical-stage biopharmaceutical company focused on improving the lives of patients suffering from debilitating central nervous system disorders, today reported financial results for the second quarter ended June 30, 2026, and provided a business update. </w:t>
      </w:r>
    </w:p>
    <w:p>
      <w:pPr>
        <w:pStyle w:val="TextBody"/>
        <w:bidi w:val="0"/>
        <w:spacing w:before="240" w:after="0"/>
        <w:jc w:val="left"/>
        <w:rPr/>
      </w:pPr>
      <w:r>
        <w:rPr/>
        <w:t>“</w:t>
      </w:r>
      <w:r>
        <w:rPr>
          <w:rFonts w:ascii="Times New Roman" w:hAnsi="Times New Roman"/>
          <w:sz w:val="20"/>
        </w:rPr>
        <w:t xml:space="preserve">With positive Phase 2 data from ZEPHYR and continued progress in VISTA, we are focusing our efforts on advancing ML-007C-MA in both schizophrenia and ADP,” said Chris Kroeger, Co-Founder and Chief Executive Officer of MapLight. “In schizophrenia, ZEPHYR met its primary endpoint and achieved meaningful efficacy results, an encouraging cognitive signal and a tolerability profile designed to translate into real-world use, supporting our planned registrational Phase 3 ZEPHYR-2 trial. In ADP, enrollment in VISTA remains ongoing, with topline results expected in the second half of 2027. Together with our recent private placement and continued focus on capital discipline, we believe we are well positioned to execute on both programs through these key milestones.”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Update and Upcoming Milestones </w:t>
      </w:r>
    </w:p>
    <w:p>
      <w:pPr>
        <w:pStyle w:val="TextBody"/>
        <w:bidi w:val="0"/>
        <w:spacing w:before="120" w:after="0"/>
        <w:jc w:val="left"/>
        <w:rPr>
          <w:rFonts w:ascii="Times New Roman" w:hAnsi="Times New Roman"/>
          <w:b/>
          <w:sz w:val="20"/>
        </w:rPr>
      </w:pPr>
      <w:r>
        <w:rPr>
          <w:rFonts w:ascii="Times New Roman" w:hAnsi="Times New Roman"/>
          <w:b/>
          <w:sz w:val="20"/>
        </w:rPr>
        <w:t xml:space="preserve">ML-007C-MA (M1/M4 Muscarinic Agonist) for the Treatment of Schizophrenia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positive topline results in July 2026 from the Phase 2 ZEPHYR trial of ML-007C-MA in adults with schizophrenia experiencing an acute exacerbation of psychosis. The trial met its primary endpoint, with the 210/3 mg twice-daily dose demonstrating a statistically significant and clinically meaningful reduction in PANSS total score compared with placebo at Week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ML-007C-MA also demonstrated improvement on a prespecified cognitive-function endpoint in participants with baseline cognitive impairment and significant separation on key secondary endpoints, including CGI-S and the PANSS Marder positive factor.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ML-007C-MA was generally well tolerated, with no serious or drug-related severe adverse events and low rates of GI-related discontinuations. Its clinical profile, including simple initiation, 99% of patients reaching the target dose and no fasting requirement, is designed to translate into real-world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plans to engage with the FDA at an End-of-Phase 2 meeting to discuss the registrational path forward, including the planned Phase 3 ZEPHYR-2 trial, with topline results expected in 2028.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ML-007C-MA for the Treatment of Alzheimer’s Disease Psychosis (ADP)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in the Phase 2 VISTA trial, a randomized, double-blind, placebo-controlled study evaluating ML-007C-MA in approximately 300 participants with ADP.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ML-007C-MA received Fast Track designation from the FDA in December 2025 for the treatment of hallucinations and delusions associated with ADP.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Topline results from VISTA are expected in the second half of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ML-004 (5-HT1B/1D Agonist) for the Treatment of Autism Spectrum Disorder (ASD)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topline results in June 2026 from the Phase 2 IRIS trial of ML-004 in autism spectrum disorder. While the study did not meet its primary endpoint in social communication, a prespecified analysis demonstrated clinically meaningful improvements in irritability among adolescents with moderate or greater baseline irritability.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ML-004 was generally well tolerated in the IRIS trial, with no severe or serious adverse events in the active treatment arm. This profile is relevant in a treatment setting with limited approved options, where antipsychotic-associated tolerability concerns can present challenges for long-term use, particularly in younger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its planned End-of-Phase 2 discussion with the FDA, the Company intends to evaluate the path forward for ML-004, including potential strategic collaborations and/or funding alternatives.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August 2026, the Company announced a $150 million private placement, with participation from new and existing institutional investors. Proceeds from the financing are expected to primarily support the continued advancement of ML-007C-MA, including funding the planned Phase 3 ZEPHYR-2 trial and ongoing Phase 2 VISTA trial, and for working capital and other general corporate purposes. Based on its current operational plans and assumptions, MapLight expects that its existing cash, cash equivalents and investments, together with the net proceeds from the PIPE, will be sufficient to fund the continued advancement of ML-007C-MA through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focusing resources on the advancement of ML-007C-MA, including pausing further investment in preclinical and discovery-stage programs and foregoing advancement of those programs into clinical development under the current operating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 xml:space="preserve">Cash, cash equivalents and investments were $351.3 million as of June 30, 2026. Based on current operational plans and assumptions, the Company expects that its existing cash, cash equivalents and investments, together with the net proceeds from the recent private placement, will be sufficient to fund the continued advancement of ML-007C-MA through the end of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R&amp;D Expenses: </w:t>
            </w:r>
            <w:r>
              <w:rPr>
                <w:rFonts w:ascii="Times New Roman" w:hAnsi="Times New Roman"/>
                <w:sz w:val="20"/>
              </w:rPr>
              <w:t xml:space="preserve">Research and development (R&amp;D) expenses were $53.4 million for the second quarter of 2026, as compared to $26.8 million for the second quarter of 2025. R&amp;D expenses increased primarily due to increases in clinical trial expenses and employee-related expenses, including an increase in stock-based compensation expense of $5.6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G&amp;A Expenses: </w:t>
            </w:r>
            <w:r>
              <w:rPr>
                <w:rFonts w:ascii="Times New Roman" w:hAnsi="Times New Roman"/>
                <w:sz w:val="20"/>
              </w:rPr>
              <w:t xml:space="preserve">General and administrative (G&amp;A) expenses were $10.1 million for the second quarter of 2026, as compared to $3.8 million for the second quarter of 2025. G&amp;A expenses increased primarily due to increases in employee-related expenses, including an increase in stock-based compensation expense of $2.9 million, and increases in professional fees and other expenses.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Net loss was $60.2 million for the second quarter of 2026, as compared to $29.8 million for the second quarter of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MapLight Therapeutics </w:t>
      </w:r>
    </w:p>
    <w:p>
      <w:pPr>
        <w:pStyle w:val="TextBody"/>
        <w:bidi w:val="0"/>
        <w:spacing w:before="120" w:after="0"/>
        <w:jc w:val="left"/>
        <w:rPr>
          <w:rFonts w:ascii="Times New Roman" w:hAnsi="Times New Roman"/>
          <w:sz w:val="20"/>
        </w:rPr>
      </w:pPr>
      <w:r>
        <w:rPr>
          <w:rFonts w:ascii="Times New Roman" w:hAnsi="Times New Roman"/>
          <w:sz w:val="20"/>
        </w:rPr>
        <w:t xml:space="preserve">MapLight Therapeutics is a clinical-stage biopharmaceutical company focused on improving the lives of patients suffering from debilitating central nervous system disorders. The Company was founded by globally recognized leaders in psychiatry and neuroscience research to address the lack of circuit-specific pharmacotherapies available for patients. The Company’s discovery platform holds the potential to fill this void by identifying neural circuits causally linked to disease and targeting those circuits for therapeutic modulation.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www.maplightrx.com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may constitute “forward-looking statements” within the meaning of the federal securities laws, including, but not limited to, the clinical development and potential benefits of ML-007C-MA and ML-004, the design, timing and conducting of future clinical trials, the registrational pathway for the Company’s product candidates, including holding EOP2 meetings with the FDA for ML-007C-MA and ML-004 and planned regulatory submissions, the availability and timing of results from the Company’s Phase 2 VISTA trial and the Company’s Phase 3 ZEPHYR-2 trial, and the potential benefits of the Company’s discovery platform. Words such as “may,” “might,” “will,” “objective,” “intend,” “should,” “could,” “can,” “would,” “expect,” “believe,” “design,” “estimate,” “predict,” “potential,” “develop,” “plan” or the negative of these terms, and similar expressions, are intended to identify forward-looking statements. While the Company believes these forward-looking statements are reasonable, undue reliance should not be placed on any such forward-looking statements, which are based on information available to the Company on the date of this release. These forward-looking statements are based upon current estimates and assumptions and are subject to various risks and uncertainties (including, without limitation, those set forth in the Company’s filings with the U.S. Securities and Exchange Commission (SEC)), many of which are beyond the Company’s control and subject to change. Actual results could be materially different. Risks and uncertainties include: the unpredictable relationship between preclinical study results and clinical study results; the risk that results obtained in any clinical trials to date may not be indicative of results obtained in ongoing or future trials; the timing or likelihood of regulatory filings and approvals; expectations regarding the Company’s ability to fund its current operations; and other risks and uncertainties identified in the Company’s Quarterly Report on Form 10-Q for the quarter ended June 30, 2026, and subsequent disclosure documents the Company may file with the SEC. The Company claims the protection of the safe harbor contained in the Private Securities Litigation Reform Act of 1995 for forward-looking statements. The Company expressly disclaims any obligation to update or alter any statements whether as a result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MapLight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11"/>
        <w:gridCol w:w="181"/>
        <w:gridCol w:w="179"/>
        <w:gridCol w:w="1410"/>
        <w:gridCol w:w="198"/>
        <w:gridCol w:w="143"/>
        <w:gridCol w:w="179"/>
        <w:gridCol w:w="1042"/>
        <w:gridCol w:w="155"/>
        <w:gridCol w:w="129"/>
        <w:gridCol w:w="140"/>
        <w:gridCol w:w="1145"/>
        <w:gridCol w:w="155"/>
        <w:gridCol w:w="129"/>
        <w:gridCol w:w="140"/>
        <w:gridCol w:w="807"/>
        <w:gridCol w:w="162"/>
      </w:tblGrid>
      <w:tr>
        <w:trPr/>
        <w:tc>
          <w:tcPr>
            <w:tcW w:w="391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1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91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410" w:type="dxa"/>
            <w:tcBorders/>
            <w:vAlign w:val="bottom"/>
          </w:tcPr>
          <w:p>
            <w:pPr>
              <w:pStyle w:val="TableContents"/>
              <w:bidi w:val="0"/>
              <w:spacing w:before="0" w:after="283"/>
              <w:jc w:val="right"/>
              <w:rPr/>
            </w:pPr>
            <w:r>
              <w:rPr/>
              <w:t>53,435</w:t>
            </w:r>
          </w:p>
        </w:tc>
        <w:tc>
          <w:tcPr>
            <w:tcW w:w="1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26,846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5" w:type="dxa"/>
            <w:tcBorders/>
            <w:vAlign w:val="bottom"/>
          </w:tcPr>
          <w:p>
            <w:pPr>
              <w:pStyle w:val="TableContents"/>
              <w:bidi w:val="0"/>
              <w:spacing w:before="0" w:after="283"/>
              <w:jc w:val="right"/>
              <w:rPr/>
            </w:pPr>
            <w:r>
              <w:rPr/>
              <w:t>107,119</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46,633</w:t>
            </w:r>
          </w:p>
        </w:tc>
        <w:tc>
          <w:tcPr>
            <w:tcW w:w="162" w:type="dxa"/>
            <w:tcBorders/>
            <w:vAlign w:val="bottom"/>
          </w:tcPr>
          <w:p>
            <w:pPr>
              <w:pStyle w:val="TableContents"/>
              <w:bidi w:val="0"/>
              <w:spacing w:before="0" w:after="283"/>
              <w:jc w:val="left"/>
              <w:rPr/>
            </w:pPr>
            <w:r>
              <w:rPr/>
              <w:t> </w:t>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8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10,113</w:t>
            </w:r>
          </w:p>
        </w:tc>
        <w:tc>
          <w:tcPr>
            <w:tcW w:w="1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20,932</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7,573</w:t>
            </w:r>
          </w:p>
        </w:tc>
        <w:tc>
          <w:tcPr>
            <w:tcW w:w="162" w:type="dxa"/>
            <w:tcBorders/>
            <w:shd w:fill="CCEEFF" w:val="clear"/>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1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63,548</w:t>
            </w:r>
          </w:p>
        </w:tc>
        <w:tc>
          <w:tcPr>
            <w:tcW w:w="1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30,663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128,051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54,206</w:t>
            </w:r>
          </w:p>
        </w:tc>
        <w:tc>
          <w:tcPr>
            <w:tcW w:w="162"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8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(63,548</w:t>
            </w:r>
          </w:p>
        </w:tc>
        <w:tc>
          <w:tcPr>
            <w:tcW w:w="1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(30,663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(128,051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(54,206</w:t>
            </w:r>
          </w:p>
        </w:tc>
        <w:tc>
          <w:tcPr>
            <w:tcW w:w="162" w:type="dxa"/>
            <w:tcBorders/>
            <w:shd w:fill="CCEEFF" w:val="clear"/>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1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2,349</w:t>
            </w:r>
          </w:p>
        </w:tc>
        <w:tc>
          <w:tcPr>
            <w:tcW w:w="1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688</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4,821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1,499</w:t>
            </w:r>
          </w:p>
        </w:tc>
        <w:tc>
          <w:tcPr>
            <w:tcW w:w="162" w:type="dxa"/>
            <w:tcBorders/>
            <w:shd w:fill="CCEEFF" w:val="clear"/>
            <w:vAlign w:val="bottom"/>
          </w:tcPr>
          <w:p>
            <w:pPr>
              <w:pStyle w:val="TableContents"/>
              <w:bidi w:val="0"/>
              <w:spacing w:before="0" w:after="283"/>
              <w:jc w:val="left"/>
              <w:rPr/>
            </w:pPr>
            <w:r>
              <w:rPr/>
              <w:t> </w:t>
            </w:r>
          </w:p>
        </w:tc>
      </w:tr>
      <w:tr>
        <w:trPr/>
        <w:tc>
          <w:tcPr>
            <w:tcW w:w="391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1,007</w:t>
            </w:r>
          </w:p>
        </w:tc>
        <w:tc>
          <w:tcPr>
            <w:tcW w:w="1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2,370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522</w:t>
            </w:r>
          </w:p>
        </w:tc>
        <w:tc>
          <w:tcPr>
            <w:tcW w:w="162"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(60,192</w:t>
            </w:r>
          </w:p>
        </w:tc>
        <w:tc>
          <w:tcPr>
            <w:tcW w:w="1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(29,845</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(120,860</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(52,185</w:t>
            </w:r>
          </w:p>
        </w:tc>
        <w:tc>
          <w:tcPr>
            <w:tcW w:w="162" w:type="dxa"/>
            <w:tcBorders/>
            <w:shd w:fill="CCEEFF" w:val="clear"/>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11"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410" w:type="dxa"/>
            <w:tcBorders/>
            <w:vAlign w:val="bottom"/>
          </w:tcPr>
          <w:p>
            <w:pPr>
              <w:pStyle w:val="TableContents"/>
              <w:bidi w:val="0"/>
              <w:spacing w:before="0" w:after="283"/>
              <w:jc w:val="right"/>
              <w:rPr/>
            </w:pPr>
            <w:r>
              <w:rPr/>
              <w:t>(1.32</w:t>
            </w:r>
          </w:p>
        </w:tc>
        <w:tc>
          <w:tcPr>
            <w:tcW w:w="1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(39.11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5" w:type="dxa"/>
            <w:tcBorders/>
            <w:vAlign w:val="bottom"/>
          </w:tcPr>
          <w:p>
            <w:pPr>
              <w:pStyle w:val="TableContents"/>
              <w:bidi w:val="0"/>
              <w:spacing w:before="0" w:after="283"/>
              <w:jc w:val="right"/>
              <w:rPr/>
            </w:pPr>
            <w:r>
              <w:rPr/>
              <w:t>(2.66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(68.46</w:t>
            </w:r>
          </w:p>
        </w:tc>
        <w:tc>
          <w:tcPr>
            <w:tcW w:w="162" w:type="dxa"/>
            <w:tcBorders/>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number of common shares outstanding - basic and diluted</w:t>
            </w:r>
          </w:p>
        </w:tc>
        <w:tc>
          <w:tcPr>
            <w:tcW w:w="18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45,431,359</w:t>
            </w:r>
          </w:p>
        </w:tc>
        <w:tc>
          <w:tcPr>
            <w:tcW w:w="1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763,044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45,354,488</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762,325</w:t>
            </w:r>
          </w:p>
        </w:tc>
        <w:tc>
          <w:tcPr>
            <w:tcW w:w="162" w:type="dxa"/>
            <w:tcBorders/>
            <w:shd w:fill="CCEEFF" w:val="clear"/>
            <w:vAlign w:val="bottom"/>
          </w:tcPr>
          <w:p>
            <w:pPr>
              <w:pStyle w:val="TableContents"/>
              <w:bidi w:val="0"/>
              <w:spacing w:before="0" w:after="283"/>
              <w:jc w:val="left"/>
              <w:rPr/>
            </w:pPr>
            <w:r>
              <w:rPr/>
              <w:t> </w:t>
            </w:r>
          </w:p>
        </w:tc>
      </w:tr>
      <w:tr>
        <w:trPr/>
        <w:tc>
          <w:tcPr>
            <w:tcW w:w="391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Select Condensed Consolidated Balance Sheet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83"/>
        <w:gridCol w:w="238"/>
        <w:gridCol w:w="140"/>
        <w:gridCol w:w="805"/>
        <w:gridCol w:w="60"/>
        <w:gridCol w:w="238"/>
        <w:gridCol w:w="227"/>
        <w:gridCol w:w="1249"/>
        <w:gridCol w:w="65"/>
      </w:tblGrid>
      <w:tr>
        <w:trPr/>
        <w:tc>
          <w:tcPr>
            <w:tcW w:w="718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8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7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351,341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453,096</w:t>
            </w:r>
          </w:p>
        </w:tc>
        <w:tc>
          <w:tcPr>
            <w:tcW w:w="65" w:type="dxa"/>
            <w:tcBorders/>
            <w:shd w:fill="CCEEFF" w:val="clear"/>
            <w:vAlign w:val="bottom"/>
          </w:tcPr>
          <w:p>
            <w:pPr>
              <w:pStyle w:val="TableContents"/>
              <w:bidi w:val="0"/>
              <w:spacing w:before="0" w:after="283"/>
              <w:jc w:val="left"/>
              <w:rPr/>
            </w:pPr>
            <w:r>
              <w:rPr/>
              <w:t> </w:t>
            </w:r>
          </w:p>
        </w:tc>
      </w:tr>
      <w:tr>
        <w:trPr/>
        <w:tc>
          <w:tcPr>
            <w:tcW w:w="718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368,348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479,512</w:t>
            </w:r>
          </w:p>
        </w:tc>
        <w:tc>
          <w:tcPr>
            <w:tcW w:w="65" w:type="dxa"/>
            <w:tcBorders/>
            <w:vAlign w:val="bottom"/>
          </w:tcPr>
          <w:p>
            <w:pPr>
              <w:pStyle w:val="TableContents"/>
              <w:bidi w:val="0"/>
              <w:spacing w:before="0" w:after="283"/>
              <w:jc w:val="left"/>
              <w:rPr/>
            </w:pPr>
            <w:r>
              <w:rPr/>
              <w:t> </w:t>
            </w:r>
          </w:p>
        </w:tc>
      </w:tr>
      <w:tr>
        <w:trPr/>
        <w:tc>
          <w:tcPr>
            <w:tcW w:w="7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19,294</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16,229</w:t>
            </w:r>
          </w:p>
        </w:tc>
        <w:tc>
          <w:tcPr>
            <w:tcW w:w="65" w:type="dxa"/>
            <w:tcBorders/>
            <w:shd w:fill="CCEEFF" w:val="clear"/>
            <w:vAlign w:val="bottom"/>
          </w:tcPr>
          <w:p>
            <w:pPr>
              <w:pStyle w:val="TableContents"/>
              <w:bidi w:val="0"/>
              <w:spacing w:before="0" w:after="283"/>
              <w:jc w:val="left"/>
              <w:rPr/>
            </w:pPr>
            <w:r>
              <w:rPr/>
              <w:t> </w:t>
            </w:r>
          </w:p>
        </w:tc>
      </w:tr>
      <w:tr>
        <w:trPr/>
        <w:tc>
          <w:tcPr>
            <w:tcW w:w="718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20,049</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21,140</w:t>
            </w:r>
          </w:p>
        </w:tc>
        <w:tc>
          <w:tcPr>
            <w:tcW w:w="65" w:type="dxa"/>
            <w:tcBorders/>
            <w:vAlign w:val="bottom"/>
          </w:tcPr>
          <w:p>
            <w:pPr>
              <w:pStyle w:val="TableContents"/>
              <w:bidi w:val="0"/>
              <w:spacing w:before="0" w:after="283"/>
              <w:jc w:val="left"/>
              <w:rPr/>
            </w:pPr>
            <w:r>
              <w:rPr/>
              <w:t> </w:t>
            </w:r>
          </w:p>
        </w:tc>
      </w:tr>
      <w:tr>
        <w:trPr/>
        <w:tc>
          <w:tcPr>
            <w:tcW w:w="7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348,299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458,372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For investor inquiries: </w:t>
      </w:r>
      <w:r>
        <w:rPr>
          <w:rFonts w:ascii="Times New Roman" w:hAnsi="Times New Roman"/>
          <w:sz w:val="20"/>
          <w:u w:val="single"/>
        </w:rPr>
        <w:t>investors@maplightrx.com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For media inquiries: </w:t>
      </w:r>
      <w:r>
        <w:rPr>
          <w:rFonts w:ascii="Times New Roman" w:hAnsi="Times New Roman"/>
          <w:sz w:val="20"/>
          <w:u w:val="single"/>
        </w:rPr>
        <w:t>media@maplightrx.com</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0" w:name="d48818dex992.htm"/>
      <w:bookmarkStart w:id="11" w:name="ksd48818dex992"/>
      <w:bookmarkEnd w:id="10"/>
      <w:bookmarkEnd w:id="11"/>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62175"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62175" cy="400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MapLight Therapeutics Announces $150 Million Private Placement Financing </w:t>
      </w:r>
    </w:p>
    <w:p>
      <w:pPr>
        <w:pStyle w:val="TextBody"/>
        <w:bidi w:val="0"/>
        <w:spacing w:before="0" w:after="0"/>
        <w:jc w:val="left"/>
        <w:rPr/>
      </w:pPr>
      <w:r>
        <w:rPr/>
        <w:t> </w:t>
      </w:r>
    </w:p>
    <w:p>
      <w:pPr>
        <w:pStyle w:val="TextBody"/>
        <w:bidi w:val="0"/>
        <w:spacing w:before="0" w:after="0"/>
        <w:jc w:val="left"/>
        <w:rPr/>
      </w:pPr>
      <w:r>
        <w:rPr/>
        <w:drawing>
          <wp:inline distT="0" distB="0" distL="0" distR="0">
            <wp:extent cx="6515100"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15100" cy="1428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b/>
          <w:sz w:val="20"/>
        </w:rPr>
        <w:t>SAN FRANCISCO and BOSTON, August</w:t>
      </w:r>
      <w:r>
        <w:rPr>
          <w:rFonts w:ascii="Times New Roman" w:hAnsi="Times New Roman"/>
          <w:sz w:val="20"/>
        </w:rPr>
        <w:t> </w:t>
      </w:r>
      <w:r>
        <w:rPr>
          <w:rFonts w:ascii="Times New Roman" w:hAnsi="Times New Roman"/>
          <w:b/>
          <w:sz w:val="20"/>
        </w:rPr>
        <w:t>13, 2026 (GLOBE NEWSWIRE)</w:t>
      </w:r>
      <w:r>
        <w:rPr>
          <w:rFonts w:ascii="Times New Roman" w:hAnsi="Times New Roman"/>
          <w:sz w:val="20"/>
        </w:rPr>
        <w:t xml:space="preserve"> — MapLight Therapeutics, Inc. (Nasdaq: MPLT), a clinical-stage biopharmaceutical company focused on improving the lives of patients suffering from debilitating central nervous system disorders, announced today that it has entered into a securities purchase agreement with institutional and accredited investors to sell securities in a private placement financing (the “PIPE”) for gross proceeds of approximately $150 million, before deducting placement agent fees and estimated offering expenses. The financing is being led by new and existing institutional investors. </w:t>
      </w:r>
    </w:p>
    <w:p>
      <w:pPr>
        <w:pStyle w:val="TextBody"/>
        <w:bidi w:val="0"/>
        <w:spacing w:before="240" w:after="0"/>
        <w:jc w:val="left"/>
        <w:rPr>
          <w:rFonts w:ascii="Times New Roman" w:hAnsi="Times New Roman"/>
          <w:sz w:val="20"/>
        </w:rPr>
      </w:pPr>
      <w:r>
        <w:rPr>
          <w:rFonts w:ascii="Times New Roman" w:hAnsi="Times New Roman"/>
          <w:sz w:val="20"/>
        </w:rPr>
        <w:t xml:space="preserve">In the PIPE, MapLight is selling an aggregate of 9,197,887 shares of its common stock at a price of $11.38 per share and, in lieu of common stock to certain investors, pre-funded warrants to purchase up to an aggregate of 3,983,168 shares of common stock at a purchase price of $11.3799 per pre-funded warrant. Each pre-funded warrant has an exercise price of $0.0001 per share of common stock, will be immediately exercisable, subject to certain conditions set forth in each pre-funded warrant, and will not expire. The PIPE is expected to close on August 14,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MapLight intends to use the proceeds from the PIPE primarily to support the continued advancement of ML-007C-MA, including funding the ongoing VISTA Phase 2 study in Alzheimer’s disease psychosis as well as the ZEPHYR-2 registrational Phase 3 study in schizophrenia and its associated open-label safety study, and for working capital and other general corporate purposes. The Company plans to engage with the U.S. Food and Drug Administration at an End-of-Phase 2 meeting to discuss the path forward for ML-007C-MA in schizophrenia, including the design of a Phase 3 trial, which, together with ZEPHYR, would be designed to support a New Drug Application submission. MapLight’s cash, cash equivalents and investments were $351.3 million as of June 30, 2026. Based on its current operational plans and assumptions, MapLight expects that its existing cash, cash equivalents and investments, together with the net proceeds from the PIPE, will be sufficient to fund the continued advancement of ML-007C-MA through 2028.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Jefferies, Leerink Partners and Stifel are acting as placement agents for the PIPE. </w:t>
      </w:r>
    </w:p>
    <w:p>
      <w:pPr>
        <w:pStyle w:val="TextBody"/>
        <w:bidi w:val="0"/>
        <w:spacing w:before="240" w:after="0"/>
        <w:jc w:val="left"/>
        <w:rPr>
          <w:rFonts w:ascii="Times New Roman" w:hAnsi="Times New Roman"/>
          <w:sz w:val="20"/>
        </w:rPr>
      </w:pPr>
      <w:r>
        <w:rPr>
          <w:rFonts w:ascii="Times New Roman" w:hAnsi="Times New Roman"/>
          <w:sz w:val="20"/>
        </w:rPr>
        <w:t xml:space="preserve">Cooley LLP served as counsel to MapLight for the PIPE. Latham &amp; Watkins LLP served as counsel to the placement agents for the PIPE.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to be sold in the PIPE, including the shares of common stock underlying the pre-funded warrants, have not been registered under the Securities Act of 1933, as amended (the “Securities Act”), or applicable state securities laws. Accordingly, these securities may not be offered or sold in the United States except pursuant to an effective registration statement or an applicable exemption from the registration requirements of the Securities Act. MapLight has agreed to file a registration statement with the Securities and Exchange Commission (“SEC”) registering the resale of the shares of common stock and shares of common stock issuable upon the exercise of the pre-funded warrants issued in the PIPE.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MapLight Therapeutics </w:t>
      </w:r>
    </w:p>
    <w:p>
      <w:pPr>
        <w:pStyle w:val="TextBody"/>
        <w:bidi w:val="0"/>
        <w:spacing w:before="120" w:after="0"/>
        <w:jc w:val="left"/>
        <w:rPr>
          <w:rFonts w:ascii="Times New Roman" w:hAnsi="Times New Roman"/>
          <w:sz w:val="20"/>
        </w:rPr>
      </w:pPr>
      <w:r>
        <w:rPr>
          <w:rFonts w:ascii="Times New Roman" w:hAnsi="Times New Roman"/>
          <w:sz w:val="20"/>
        </w:rPr>
        <w:t xml:space="preserve">MapLight Therapeutics is a clinical-stage biopharmaceutical company focused on improving the lives of patients suffering from debilitating central nervous system disorders. The Company was founded by globally recognized leaders in psychiatry and neuroscience research to address the lack of circuit-specific pharmacotherapies available for patients. The Company’s discovery platform holds the potential to fill this void by identifying neural circuits causally linked to disease and targeting those circuits for therapeutic modulation.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may constitute “forward-looking statements” within the meaning of the federal securities laws, including statements regarding the closing of the proposed PIPE; the anticipated use of proceeds of the PIPE; the clinical development and potential benefits of ML-007C-MA and ML-004, including the design, timing and conducting of future clinical trials; and the registrational pathway for the Company’s product candidates, including holding End-of-Phase 2 meetings with the FDA for ML-007C-MA and planned regulatory submissions. Words such as “may,” “might,” “will,” “objective,” “intend,” “should,” “could,” “can,” “would,” “expect,” “believe,” “design,” “estimate,” “predict,” “potential,” “develop,” “plan” or the negative of these terms, and similar expressions, are intended to identify forward-looking statements. While the Company believes these forward-looking statements are reasonable, undue reliance should not be placed on any such forward-looking statements, which are based on information available to the Company on the date of this release. These forward-looking statements are based upon current estimates and assumptions and are subject to various risks and uncertainties (including, without limitation, those set forth in the Company’s filings with the SEC, many of which are beyond the Company’s control and subject to change. Actual results could be materially different. Risks and uncertainties regarding MapLight’s business are identified in the Company’s SEC filings, including its Annual Report on Form 10-K for the year ended December 31, 2025 and Quarterly Report on Form 10-Q for the quarter ended March 31, 2026, and subsequent disclosure documents the Company may file with the SEC, which are available on the SEC’s website at www.sec.gov. The Company claims the protection of the safe harbor contained in the Private Securities Litigation Reform Act of 1995 for forward-looking statements. The Company expressly disclaims any obligation to update or alter any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b/>
          <w:sz w:val="20"/>
        </w:rPr>
        <w:t xml:space="preserve">For investor inquiries: </w:t>
      </w:r>
      <w:r>
        <w:rPr>
          <w:rFonts w:ascii="Times New Roman" w:hAnsi="Times New Roman"/>
          <w:sz w:val="20"/>
          <w:u w:val="single"/>
        </w:rPr>
        <w:t>investors@maplightrx.com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For media inquiries: </w:t>
      </w:r>
      <w:r>
        <w:rPr>
          <w:rFonts w:ascii="Times New Roman" w:hAnsi="Times New Roman"/>
          <w:sz w:val="20"/>
          <w:u w:val="single"/>
        </w:rPr>
        <w:t>media@maplightrx.com</w:t>
      </w:r>
      <w:r>
        <w:rPr>
          <w:rFonts w:ascii="Times New Roman" w:hAnsi="Times New Roman"/>
          <w:sz w:val="20"/>
        </w:rPr>
        <w:t xml:space="preserve"> </w:t>
      </w:r>
    </w:p>
    <w:p>
      <w:pPr>
        <w:pStyle w:val="TextBody"/>
        <w:bidi w:val="0"/>
        <w:spacing w:before="0" w:after="0"/>
        <w:jc w:val="center"/>
        <w:rPr/>
      </w:pPr>
      <w:bookmarkStart w:id="12" w:name="d48818dex993.htm"/>
      <w:bookmarkStart w:id="13" w:name="ksd48818dex993"/>
      <w:bookmarkEnd w:id="12"/>
      <w:bookmarkEnd w:id="13"/>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Presentation August 13, 2026 Exhibit 99.3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presentation and any accompanying oral commentary have been prepared by MapLight Therapeutics, Inc. (“MapLight”, “we,” “us,” “our,” the “Company”, or similar terms) for informational purposes only and not for any other purpose. This presentation contains trademarks, service marks, trade names and copyrights of MapLight and other companies which are the property of their respective owners. This presentation discusses product candidates that are under pre-clinical and clinical study, and which have not yet been approved for marketing by the U.S. Food and Drug Administration. No representation is made as to the safety or efficacy of these product candidates for the uses for which they are being studied. Statements contained in this presentation and the accompanying oral commentary, other than statements of historical facts, may be forward-looking statements, including, but not limited to: statements about our expectations regarding the potential benefits, efficacy and safety of our product candidates and platform; our expectations with regard to the design and results of our research and development programs, preclinical studies, and clinical trials; our preclinical, clinical, and regulatory development plans for our product candidates; our expectations with regard to our ability to discover, develop, license, or acquire additional product candidates and advance such product candidates into, and successfully complete, preclinical studies and clinical trials; the potential patient populations for our product candidates and any future product candidates; our cash runway; and our business strategy. In some cases, you can identify forward-looking statements by terms such as “may,” “will,” “should,” “expects,” “plans,” “anticipates,” “could,” “intends,” “targets,” “projects,” “contemplates,” “believes,” “estimates,” “predicts,” “potential” or “continue” or the negative of these terms or other similar expressions. These statements involve substantial known and unknown risks, uncertainties and other factors that may cause our actual results, timing of results, levels of activity, performance, or achievements to be materially different from the information expressed or implied by these forward-looking statements. These statements involve risks and uncertainties that could cause actual results to differ materially from those reflected in such statements. Risks and uncertainties that may cause actual results to differ materially include risks and uncertainties that are described in the “Risk Factors” section of our Company’s Quarterly Report on Form 10-Q with the U.S. Securities and Exchange Commission (“SEC”) on August 13, 2026 and other filings we make with the SEC from time to time. These documents are available under the “SEC Filings” page of the “Investors” section of our website at www.maplightrx.com. New risks emerge from time to time. It is not possible for our management to predict all risks, nor can we assess the impact of all factors on our business or the extent to which any factor, or combination of factors, may cause actual results to differ materially and adversely from those anticipated or implied in the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 forward-looking statements in this presentation represent our views as of the date of this presentation. We anticipate that subsequent events and developments will cause our views to change. However, while we may elect to update these forward-looking statements at some point in the future, we have no current intention of doing so except to the extent required by applicable law. Except as required by law, neither we nor any other person assumes responsibility for the accuracy and completeness of the forward-looking statements in this presentation and the accompanying oral commentary. You should, therefore, not rely on these forward-looking statements as representing our views as of any date subsequent to the date of this presentation. This presentation also contains estimates and other statistical data made by independent parties and by us relating to market size and other data about our industry. These data involve a number of assumptions and limitations, and you are cautioned not to give undue weight to such estimates. In addition, projections, assumptions and estimates of the future performance of the markets in which we operate are necessarily subject to a high degree of uncertainty and risk. Safe Harbor and Forward-Looking Statements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MapLight Therapeutics Working to Improve the Lives of Patients Suffering From Debilitating CNS Disorders Novel M1/M4 muscarinic agonist in combination with a peripheral antagonist with a lead indication in schizophrenia, a disease affecting &gt;20 million people globally ~20-35%+ of patients with ASD experience clinically significant irritability or aggression, while available therapies have substantial safety and tolerability challenges Targeting Areas of High Unmet Need Founded by globally recognized leaders in neuropsychiatry to address lack of circuit-specific therapies Discovery platform to identify and validate novel drug targets causally linked to disease symptoms Diversified product pipeline with potential across several CNS disorders Circuit-Driven Discovery Engine Plan to initiate ZEPHYR-2, a registrational study of ML-007C-MA in schizophrenia Plan to engage with the FDA at an End-of-Phase 2 meeting following the ASD irritability signal Strong financial position with ~$501M in cash and runway through 2028 (1) Led by a team with CNS drug discovery and development expertise Advancing Key Near-Term Milestones ADP = Alzheimer’s disease psychosis; ASD = autism spectrum disorder; CNS = central nervous system. Unaudited cash, cash equivalents, and investments of $351 million as of June 30, 2026; pro forma for $150M in gross proceeds from private placement announced in August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Program Circuit Indications Preclinical Phase 1 Phase 2 Phase 3 Anticipated Milestones ML-007C-MA M1/M4 agonist co-formulated with PAC Direct and Indirect Pathways Schizophrenia Engage with FDA at EOP2 meeting Alzheimer’s Disease Psychosis Topline results in 2H 2027 ML-004 5-HT1B/1D agonist Dorsal Raphe to Nucleus Accumbens Autism Spectrum Disorder Sociability/Irritability Engage with FDA at EOP2 meeting ML-009 GPR52 PAM Indirect Pathway Hyperactivity/Impulsivity Complete IND-enabling studies in 2027 ML-055 Next-Gen M1/M4 agonist Direct and Indirect Pathways Neuropsychiatric Disorders Nominate preclinical candidate in 2026 ML-021 M4 antagonist Direct Pathway Parkinson’s Disease Finalize preclinical candidate in 2027 Potential in other indications being explored ZEPHYR VISTA IRIS Fast Track Leveraging our versatile circuit-based discovery platform for ongoing pipeline expansion Broad and Diversified Pipeline GPR = G-protein-coupled receptor. PAC = peripherally acting anti-cholinergic. PAM = positive allosteric modulator.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ML-007C-MA Lead Asset in Development for Schizophrenia and ADP</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Existing evidence is derived from post hoc or exploratory pooled analyses across two studies Cognitive benefit remains unproven ~30% show no meaningful response to treatment (1) ~40-50% experience an inadequate response to standard of care (1) ~70% discontinue oral therapies within 18 months, often due to burdensome side effects (e.g., EPS, weight gain) (2) Patients Remain Underserved by Current SOC Antipsychotics… 2024: First New Mechanism Approved in Decades (Cobenfy) …Yet Significant Treatment Gaps Still Remain After First Muscarinic Approval Failure to achieve adequate therapeutic exposure may leave symptoms insufficiently controlled (3) Many patients cannot reach or remain at target dose Tolerability challenges observed in controlled trials amplified in practice, given dosing / fasting complexity (3) Tolerability burden is exacerbated in real world Unmet Need in Schizophrenia Remains High Affects Over 20 Million People Globally, Including More Than 3 Million in the U.S. SOC = standard of care; EPS = extrapyramidal symptoms. Siskind et al., Br J Psychiatry (2022); treatment-resistant≥2 treatments. Samara et al., Schizophrenia Bulletin (2019); response as measured within 4-6 weeks. Lieberman et al., NEJM (2005). CATIE trial; all-cause discontinuation. BMS. Real-world transition strategies with xanomeline/trospium. Poster, Psych Congress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Met the primary endpoint on PANSS Total Score (ES=0.37), with a stronger effect in completers in which there are no modelled assumptions of missing data (ES=0.50) Achieved significance on CGI-S and PANSS Positive Marder Factor Statistically Significant Across Complementary Measures Prespecified Cognitive Composite Score improved significantly (ES=0.51) Change in the cognitive composite score was independent of changes in PANSS, suggesting it was not simply driven by better control of psychotic symptoms Potentially Differentiating Cognitive Signal No serious or drug-related severe adverse events; 99% of patients reached the target dose; low rates of moderate GI side-effects No fasting requirement or complex titration, unlike other agents in the class, potentially increasing adherence and persistence Tolerability Built for Real-World Use Data support advancement of 210/3 mg BID into a confirmatory pivotal trial and continued investment in indication expansion, leveraging the observed cognitive signal; next steps will be guided by the planned EOP2 meeting Developing a Differentiated Treatment, Designed to Translate into Real-World Use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LS Mean CFB (SE) in PANSS Total Score Primary Endpoint: PANSS Total Score 210/3 mg BID Met Primary Endpoint Change From Baseline in PANSS Total Score (LS Mean Difference) *p&lt;0.05 LS = least squares; SE = standard error. Note: Negative treatment deltas favor active treatment; effect size presented as an absolute value. Analysis based on the mITT population. NCT06887192: Evaluating ML-007C-MA for the treatment of hallucinations and delusions associated with Alzheimer’s Disease Psychosis (ADP) ML-007C-MA 210/3 mg BID Placebo ML-007C-MA 330/6 mg QD Placebo 210/3 mg BID 330/6 mg QD N N=103 N=93 N=98 LS Mean CFB -7.2 -11.7 -10.0 LS Mean Diff vs. Placebo -4.5 -2.8 P-value p=0.015 p=0.110 Effect Size 0.37 0.23 * * * Week 1 Week 2 Week 3 Week 4 Week 5 ZEPHYR met its primary endpoint: Demonstrated a statistically significant, clinically meaningful reduction in PANSS total score vs. placebo at Week 5 210/3 mg dose is also being evaluated for the treatment of ADP (VISTA(1) study ongoing)</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Week 1 Week 2 Week 3 Week 4 Week 5 Primary Endpoint: PANSS Total Score Robust Effect Demonstrated in Prespecified Completer Analysis Change From Baseline in PANSS Total Score (LS Mean Difference) LS Mean CFB (SE) in PANSS Total Score *p&lt;0.05, **p&lt;0.01 MMRM= Mixed model for repeated measures. Note: Negative treatment deltas favor active treatment; effect size presented as an absolute value. Analysis based on the mITT population. ML-007C-MA 210/3 mg BID (mITT) Placebo (Completer) ML-007C-MA 210/3 mg BID (Completer) Placebo (mITT) z ** ** ** * * * Placebo (Completers) 210/3 mg BID (Completers) N N=88 N=73 LS Mean CFB -7.5 -13.4 LS Mean Diff vs. Placebo -6.0 P-value p=0.002 Effect Size 0.50 The completer analysis excludes modelled assumptions about missing data, relying solely on observed data from the full assessment period Bigger difference in completer analysis driven mostly by improvement in BID arm, not placebo</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Secondary Endpoint: CGI-S Significant Improvement Corroborates PANSS Improvement Change From Baseline in CGI-S (LS Mean Difference) LS Mean CFB (SE) in CGI-S Clinically meaningful and statistically significant improvement in CGI-S vs. placebo at Week 5 0.38-point improvement -0.75 active vs. -0.36 placebo p=0.002(1) ES = 0.48 Numerical separation starting at Week 1, with statistical significance emerging by Week 3 and continuing over time **p&lt;0.01 Note: Negative treatment deltas favor active treatment; effect size presented as an absolute value. Analysis based on the mITT population. (1) Multiplicity-adjusted one-sided P value= 0.017 ML-007C-MA 210/3 mg BID Placebo ** ** ** Week 1 Week 2 Week 3 Week 4 Week 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Change From Baseline in PANSS Positive Symptoms (LS Mean Difference) *p&lt;0.05 , **p&lt;0.01 Note: Negative treatment deltas favor active treatment; effect size presented as an absolute value. Analysis based on the mITT population. PANSS Positive Symptoms Significant Improvement in PANSS Positive Marder Factor and Positive Subscale Placebo PANSS + Marder PANSS + Subscale N 103 93 93 LS Mean CFB -1.9/-1.9 (Marder/ Subscale) -3.4 -4.2 LS Mean Diff vs. Placebo -1.6 -2.3 P-value p=0.012 p=0.0003 Effect Size 0.39 0.56 Week 1 Week 2 Week 3 Week 4 Week 5 ML-007C-MA 210/3 mg BID (Marder Factor) Placebo (Subscale) ML-007C-MA 210/3 mg BID (Subscale) Placebo (Marder Factor) LS Mean CFB (SE) in PANSS Positive Symptoms ** ** ** * * * ** Clinically meaningful and statistically significant improvement in PANSS positive symptoms vs. placebo at Week 5 PANSS Positive Marder Factor was a key secondary- PANSS positive Subscale was prespecified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Pre-specified Cognitive Composite Score Results Cognitive Composite Score CFB to Week 5 PANSS Total Score CFB to Week 5 Cognitive Composite Score Placebo 210/3 mg BID N with baseline impairment N=37 N=31 LS Mean Change from Baseline 0.11 0.55 LS Mean Difference vs. Placebo 0.44 P-value p=0.041 Effect Size 0.51 Dose used in VISTA ML-007C-MA 210/3 mg BID Placebo Note: Prespecified Cognitive Composite score derived from Cogstate Battery consisting of 6 individual tests Secondary Endpoint: Cognitive Composite Robust and Clinically Meaningful Improvement on Cognitive Performance No observed significant relationship between cognitive improvement and PANSS change Placebo: r=-0.071, p=0.678; BID: r=-0.187, p=0.314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Implications of Cognitive Signal Beyond ZEPHYR Supports Rationale for VISTA and Broader Development Cognitive impairment is estimated to affect &gt;80% of patients with schizophrenia (1) Cognitive impairment is a major determinant of long-term functional outcomes, including employment, independent living and quality of life Despite decades of research, no therapies have been approved to treat cognitive impairment in schizophrenia Highlights both the unmet need and the difficulty of demonstrating meaningful cognitive benefit Sedation and dopamine blockade from many SOC antipsychotics may worsen cognition Cognitive Impairment Remains an Unmet Need The Signal Supports the Underlying Biology The cognitive benefit was observed on a prespecified secondary endpoint Change in the cognitive composite score was independent of changes in PANSS, suggesting it was not simply driven by better control of psychotic symptoms The finding is consistent with the established role of M1 receptor activation in learning and memory, strengthening confidence in the underlying mechanism Why This Matters for VISTA (3) and Future Development A positive cognitive signal observed outside AD increases confidence that the biology translates across neuropsychiatric populations Off-label use of antipsychotics in ADP has been associated with accelerated cognitive decline (CATIE-AD), highlighting the need for new therapies (2) The 210/3 mg BID dose currently being evaluated in VISTA is the same dose that demonstrated cognitive benefit in ZEPHYR Maroney, Ment Health Clin. 2022. Vigen et al., Am J Psychiatry. 2011. NCT06887192: Evaluating ML-007C-MA for the treatment of hallucinations and delusions associated with Alzheimer’s Disease Psychosis (ADP).</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210/3 mg BID Demonstrated Effect Across Multiple Endpoints and Symptom Domains N Active / PBO LS Mean Difference [95% CI] Effect Size P-value PANSS Total Score – mITT 93 / 103 0.37 0.015 PANSS Total Score - Completers 73 / 88 0.50 0.002 CGI-S 93 / 103 0.48 0.002 Cognitive Composite 31 / 37 0.51 0.041 PANSS Marder Positive Factor 93 / 103 0.39 0.012 PANSS Marder Negative Factor 93 / 103 0.18 0.244 CGI-C 93 / 103 0.47 0.002 PGI-C 93 / 103 0.38 0.015 -0.6 -0.4 -0.2 0 1.0 0.8 0.6 0.4 0.2 0 -3 -2 -1 0 -3 -2 -1 0 ← ML-007C-MA favored PBO favored → -10 -8 -6 -4 -2 0 -10 -8 -6 -4 -2 0 CGI-C = Clinical Global Impression of Change; PGI-C = Patient Global Impression of Change. Note: Graphed data represent the LS mean difference (ML-007C-MA 210/3 mg BID − placebo) and 95% confidence intervals -0.8 -0.6 -0.4 -0.2 0 -0.8 -0.6 -0.4 -0.2 0 Participants on active treatment were, compared to placebo: 2.4x more likely to achieve ≥30% response on the PANSS total score by Week 5 (p=0.021) 2.8x more likely to be ready for discharge out of the inpatient hospital setting by Week 5 (p=0.002)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ML-007C-MA Was Generally Well Tolerated Single serious adverse event occurred in placebo arm was worsening schizophrenia. Adverse events, primarily cholinergic in nature, were mostly mild No serious or drug-related severe TEAEs occurred with either dose (1) The only severe TEAE (pneumonia) was assessed as unrelated to study drug There were no instances of failure to reach target dose due to tolerability Dose reduction due to TEAE was infrequent (4 participants); TEAEs leading to dose reduction started in the first week, and most (75%) completed treatment following dose reduction Low rates of moderate GI side-effects Low rates of discontinuation (2 participants) due to gastrointestinal adverse events No urinary retention signal observed: The active and placebo arms each had a single moderate urinary event (UTI) No metabolic, hepatic, or EPS signals observed: mean weight, glucose, lipid, liver enzyme, and movement-related parameters remained comparable to placebo Heart rate increases were mild and consistent with the fesoterodine label, with no evidence of significant blood pressure elevation Adverse Events Mostly Mild GI Events Rarely Led to Discontinuation with BID Dosing No Signal Across Key Safety Domains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Placebo N=104 210/3 mg BID N = 99 Mild Moderate Mild Moderate Nausea 6% 0 20% 9% Vomiting 1% 2% 9% 4% Dyspepsia (3) 0 1% 8% 1% Constipation 3% 0 8% 1% Abdominal pain (3) 3% 0 6% 3% Diarrhea 1% 0 5% 0 GERD 2% 0 2% 0 Rates of TEAEs With BID Dosing GI TEAEs ≥2% in Active Arm and &gt; Placebo Most Adverse Events Were Mild All Cause Discontinuation Was Low at 19.9% Across Active Treatment Arms All GI TEAEs were mild to moderate in severity AE = adverse event. One participant was withdrawn due to baseline (pre-dose) lab findings following titration dose but prior to first target dose. Assessed as unrelated to study drug (pneumonia). Dyspepsia includes dyspepsia and esophageal discomfort; abdominal pain includes abdominal discomfort, abdominal pain upper, abdominal pain, abdominal pain lower, abdominal distension, and abdominal tenderness Other TEAEs ≥5% include: headache, salivary hypersecretion, dizziness, hyperhidrosis, hot flushes, somnolence, chills, decreased appetite, tremor, and insomnia Single episode of unrelated hypertension; one episode of orthostatic hypotension observed in each of the placebo and BID dosing arms Placebo N=104 210/3 mg BID N = 99 Discontinuations Due to TEAE 1.0% 7.1% Due to GI TEAE 0 2.0% Utilization of Lower Dose Dose Reduction Due to TEAE 1.9% 4.0% Inability to Reach Target Dose 0 1% (1) Any TEAE 48.1% 74.7% Mild 36.5% 48.5% Moderate 11.5% 25.3% Severe TEAE 0 1.0% (2) Serious TEAE 1.0%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EMERGENT-2 EMERGENT-3 Placebo Active Placebo Active Discontinuations Due to TEAE 5.6% (2) 7.1% (2) 5.5% (3) 6.4% (3) Due to GI TEAE Not reported 3.2% (4) Not reported 3.2% (4) Utilization of Lower Dose Dose Reduction Due to TEAE(1) 0 5.6% 0.8% 0.8% Inability to Reach Target Dose 1.6% (2) 17.5% (2) 9% (5) 21% (5) Any TEAE 58.4% 75.4% 50.0% 70.4% Mild (1) 27.2% 38.1% 25.8% 36.0% Moderate (1) 24.8% 28.6% 20.3% 26.4% Severe TEAE (1) 4.0% 7.1% 2.3% 8.0% Serious TEAE 1.6% (2) 1.6% (2) 0 0.8% (6) Rates of TEAEs for Cobenfy in Pivotal Studies All Cause Discontinuation Ranged From 25.4%-36.8% at 5 weeks (1) Moderate-or-worse TEAE burden was meaningfully lower for ML-007C-MA (26%) than reported in Cobenfy's pivotal trials (34-36%) Cobenfy FDA Label EMERGENT-2/3 Pooled Placebo (N=253) Active (N=251) Nausea 4% 19% Dyspepsia (7) 5% 18% Constipation 7% 17% Vomiting 1% 15% Abdominal Pain (7) 4% 8% Diarrhea 2% 6% GERD &lt;1% 5% GI TEAEs &gt;2% in Active Arm and &gt; Placebo 51%-78% did not complete 1 year of treatment in the open-label studies (8) Real-world non-persistence is ~80% by Month 13 (9) Real-world Patient Experience (N=90) (10) &gt;2-3x &gt;80% 55% the rates of nausea and vomiting did not reach the highest dose (125/30 mg) received medication for GI events &gt;50% had no or only partial response to intervention Cobenfy FDA Summary Basis of Approval (SBA). EMERGENT-2 primary manuscript: Kaul et al., 2024. Pbo: appendicitis(n=1), schizophrenia (n=1). Active: suicidal ideation (n=2). EMERGENT-3 primary manuscript: Kaul et al., 2024. Pooled EMERGENT-2 and -3 rate. 8 participants discontinued in the Cobenfy arm per the SBA (Table 35) in the pooled EMERGENT-1,2,3 studies. Per Karuna 2023 10-K filing, only N=2 participants discontinued from the active arm of EMERGENT-1 (N=89), neither from the GI system organ class. Karuna 2023 10-K filing. EMERGENT-3 topline results, per Karuna Therapeutics press release (March 2023). Active: GERD (n=1). Dyspepsia includes dyspepsia and esophageal discomfort; abdominal pain includes abdominal discomfort, abdominal pain upper, abdominal pain, abdominal pain lower, and abdominal tenderness. EMERGENT-4 and EMERGENT-5 results, Kaul et al., 2026. Non-persistence: MapLight estimate, third-party Rx data. Retrospective analysis of real-world transition strategies for xanomeline and trospium chloride in adult patients with schizophrenia. Poster, Psych Congress 2025.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PANSS Total Score: Standardized Effect Sizes (Cohen’s d) Peak Sales (Year) (1) $5.0B $3.2B $3.4B $5.8B $6.2B $2.0B $4.3B $6.0B $2.6B (2010) (2036E) (2007) (2011) (2013) (2020) (2028E) (2039E) (2027E) Significant Opportunity for New Therapies 210/3 mg BID Effect Size Falls Within the Range of Approved Antipsychotics Approved Therapies (mITT ES) Completers ES (Range Shown, if Available) ML-007C-MA (mITT ES) Active arm favored → ← PBO favored Note: Assessments reflect management’s current views based on publicly available information and internal analyses; comparisons are subject to uncertainty around interpretation. Differences exist among study designs, and caution should be exercised when comparing data across trials. Sources: Approved antipsychotic effect sizes per Huhn et al., Lancet 2019; Correll et al., JAMA Psychiatry 2020; Cobenfy per Fabiano et al., 2025 meta-analysis. Completer analysis effect size for Cobenfy estimated based on data from Kaul et al., 2023 and Kaul et al., 2024; Zyprexa and Latuda based on data from Latuda’s FDA Summary Basis of Approval Tables 37 and 52. Completer/observed-case values reflect trial-completer populations only, not intent-to-treat; ranges reflect variation across available analyses. ML-007C-MA completer analysis: N=73 (p=0.002). WW consensus peak sales (oral) as per Evaluate Pharma and Visible Alpha as of July 2026; Caplyta projections only available through 2030 (LOE 2039); all indications.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Program Mechanism of Action Efficacy in RCTs 210/3 mg BID hit primary endpoint Cognitive Improvement Prespecified secondary endpoint Tolerability/Safety Meaningfully lower rates of significant side effects No Fasting Requirement Taken with food Simple Titration One-dose titration Dosing Frequency QD dose to be further explored ML-007C-MA Target Product Profile has Potential to be Differentiated Across Multiple Dimensions RCT = randomized controlled trials; PAM = positive allosteric modulator. Note: Assessments reflect management’s current views based on publicly available information and internal analyses; comparisons are qualitative and subject to uncertainty around interpretation. Differences exist among study designs, and caution should be exercised when comparing data across trials. Based on results from ZEPHYR-1 Phase 2 study, and product profile is subject to the completion of additional studies and review by the FDA Based on FDA prescribing information. Based on results from the Phase 2 EMPOWER-1 and EMPOWER-2 clinical trials, which failed to demonstrate a statistically significant improvement in PANSS total score. Based on results from the Phase 2 clinical trial, which showed statistically significant improvement only at the lowest dose of the four active drug arms evaluated. No activity at M1 No activity at M1 Some may cause impairment Factors expected to impact real world translation SOC Antipsychotics Primarily D2-blockade Direclidine (4) M4 Agonist Emraclidine (3) M4 PAM Cobenfy (2) M1/M4 Agonist + Peripheral Antagonist ML-007C-MA (1) M1/M4 Agonist + Peripheral Antagonist In development U-shaped dose response Post-hoc/pooled analyses Moderate to severe TEAEs Must be taken fasted 3-8 day, 2-step titration BID Not stat. sig. in Ph 2 Metabolic, movement, sedation Varies across APs Varies across APs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Program and Path to NDA Submission Confirmatory Pivotal Trial Expected to Support Initial Approval Trial in ADP patients evaluating 210/3 mg BID (potentially registrational) On track, supported by ZEPHYR's prespecified cognitive signal Ongoing VISTA (Study 221) Topline results expected in 2H 2027 Evaluating potential in additional indications, including for the treatment of mild-moderate Alzheimer’s disease Engage with the FDA at EOP2 Meeting Established primary efficacy signal and safety for 210/3 mg BID Result supports pivotal status, pending confirmation with the FDA Complete ZEPHYR-1 (Study 211) Similar design to Phase 2, evaluating 210/3 mg BID vs. placebo in U.S. sites Together with Study 211, intended to support initial NDA submission Planned ZEPHYR-2 (Study 311)(1) Additional pivotal trial evaluating 210/3 mg BID Potential to evaluate an alternate QD regimen (would pursue as sNDA) For Future Consideration ZEPHYR-3 (Study 312) Subject to FDA feedback at EOP2 Meeting.</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ML-007 Positioning: Clinically Meaningful Symptom Improvement, Well Tolerated, Built for Simple, Real-World Dosing Consistent, clinically meaningful benefit across PANSS, global measures, and responder analyses Effect size of 0.37 in mITT and 0.50 among study completers Prespecified cognitive benefit observed in patients with baseline impairment Cognitive improvement was independent of improvements in PANSS 99% of adverse events were mild or moderate; 80% completed treatment Low anticholinergic burden, no urinary-retention signal, and placebo-like cardiometabolic profile 99% reached the target dose following a simple, one-step initiation No fasting requirement, supporting straightforward and practical real-world use EFFICACY Meaningful, Concordant Efficacy Across Core Measures COGNITION Prespecified Cognitive Signal, Independent of Symptom Change SAFETY &amp; TOLERABILITY Well Tolerated, With Low Anticholinergic Burden and Discontinuation Rates DOSING &amp; ADMINISTRATION Simple Initiation and Administration Translating to Better Real-World Use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ML-004 5-HT1B/1D Agonist in Development for Autism Spectrum Disorder (ASD)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Unmet Need in ASD Irritability Remains High ~830K adolescents diagnosed with ASD (U.S., 2039E) (1) ~20-35%+ experience clinically significant irritability or aggression (2) 1 in 6 young people with ASD receive antipsychotics (3) Only 2 approved therapies both with warnings and precautions relevant to adolescents Additional options are needed to improve responses across a heterogeneous population Incomplete Treatment Response Weight gain, sedation and movement-related effects may impair daily functioning Meaningful Side-Effect Burden Tolerability concerns may limit chronic treatment, particularly in younger populations Challenges with Long-Term Use Safety concerns may discourage treatment, particularly in younger patients without psychosis Caregiver Hesitancy 2039 projection of U.S. adolescents; 2022 NSCH and Grosvenor et al., 2023 claims data. Alatrash et al., 2024; Manter et al., BMC Medicine 2025. Park et al., JAACAP 2016 meta-analysis.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Irritability Outcomes Includes Subjects with ABC-I &gt;16 at Baseline ABC-I Subscale (1) Care partner-reported CGI-I Irritability Domain (2) Clinican-reported Two measures of irritability assessed by different raters LS Mean Difference vs. Placebo (95% CI), by Scale and Age Group Total N = 26 Adolescent N = 20 Total N = 26 Adolescent N = 20 LS Mean Diff. [95% CI] Effect Size P-value (* p &lt; 0.05) -5.5 [-12.8, 1.8] 0.64 0.131 -9.6 [-16.8, -2.3] 1.33 0.013 * -0.4 [-1.0, 0.2] 0.61 0.153 -0.6 [-1.2, -0.0] 1.08 0.036 * ß ML-004 favored PBO favored à Note: Negative treatment deltas favor active treatment; effect size presented as an absolute value. Full Analysis set (FAS): The FAS includes all randomized subjects who received at least 1 dose of study drug after randomization and have DB Baseline and at least 1 post-DB Baseline assessment. ABC-I in the whole population was a key secondary endpoint evaluated in IRIS study; evaluation of change in the adolescent population was a prespecified endpoint CGI-I Global is included in labels for approved therapies.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ML-004 Has the Potential to Address Unmet Needs Through Established Development Path ML-004 demonstrated clinically meaningful improvements in irritability in adolescents with moderate or greater baseline irritability across both caregiver- and clinician-rated scales ABC-I (effect size of 1.33, nominal p-value of 0.013) CGI-I irritability (effect size of 1.08, nominal p-value of 0.036) 01 ML-004 was generally well tolerated across all doses and age groups No drug-related severe or serious AEs Meaningful differentiation from standard of care atypical antipsychotics No weight gain relative to placebo No evidence of extrapyramidal symptoms Low rates of fatigue / somnolence 02 Data support potential development of ML-004 for irritability associated with ASD, an indication with high unmet need and an established regulatory path; next steps will be guided by upcoming regulatory interactions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Screening Period (Day -7 to -1) Blinded Treatment Period (Day 1 to 35) Follow-up Period (Day 36 to 42) Week 1 Week 2 Week 3 Week 4 Week 5 N = 307 Randomized 1:1:1 Sites: 25 (US only) Placebo  (N=104) ML-007C-MA  330/6 mg QD (1)  (N=102) ML-007C-MA  210/3 mg BID (1)  (N=101) Primary Endpoint Study Population 18 to 64 years of age with diagnosis of schizophrenia with MINI PANSS 80-120 at screening and baseline Score ≥4 for two or more positive symptom items CGI-S score ≥4 Untreated or recent wash-out of antipsychotics Primary Endpoint CFB PANSS Total Score at Week 5 Key Secondary Endpoints CFB CGI-S at Week 5 CFB PANSS positive Marder factor at Week 5 CFB PANSS negative Marder factor at Week 5 Other Secondary (Prespecified) CFB Cognitive Composite Score at Week 5 in the cognitively impaired at baseline subgroup ZEPHYR Study Outline Designed and Sized to Serve as a Registrational Study CFB = Change from baseline; MINI = Mini-International Neuropsychiatric Interview; QD = once-daily. Single-dose titration; reduction of dose permitted once between Week 1 to 3 to 165/3 mg BID or 270/6 mg QD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Screening Period (Day -35 to -1) Blinded Treatment Period (Day 1 to 49) Follow-up Period (7 + 2 days after last dose) Week 1 Week 2 Week 3 Week 5 Week 7 ML-007C-MA 210/3mg BID (n=150) Primary Endpoint Week 1 105/1.5mg BID Weeks 2-7 210/3mg BID (1) Placebo BID (n=150) N = 300 Randomized 1:1 Sites: 100 (global) Topline results expected in 2H 2027 VISTA Study Outline Designed and Sized to Serve as a Registrational Study NPI-C A+A = Neuropsychiatric Inventory Clinician, Agitation and Aggression; NPI-C H+D = Neuropsychiatric Inventory Clinician, Hallucinations and Delusions. Increase to the target dose of 210/3 mg BID at Week 1, unless the participant is experiencing tolerability issues that, in the investigator’s opinion, would preclude a higher dose. Every effort should be made to increase to the target dose as soon as possible up until Week 3. One-time dose reduction to 105/1.5 mg allowed for tolerability. Study Population 55 to 90 years of age Possible or probable Alzheimer’s disease Psychotic symptoms for &gt;2 months NPI-C H+D score of ≥6; and ≥2 on at least two items of either the H or D domain scores CGI-S score ≥4 Primary Endpoint CFB to Week 7 on the NPI-C H+D domain scores Key Secondary Endpoints CFB to Week 7 on CGI-S  score CFB to Week 7 on NPI-C A+A domain score in participants with moderate agitation at Baseline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107</Pages>
  <Words>46277</Words>
  <Characters>249931</Characters>
  <CharactersWithSpaces>296425</CharactersWithSpaces>
  <Paragraphs>1175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